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rPr>
          <w:rFonts w:eastAsia="黑体"/>
          <w:color w:val="auto"/>
          <w:szCs w:val="32"/>
        </w:rPr>
      </w:pPr>
      <w:r>
        <w:rPr>
          <w:rFonts w:eastAsia="黑体"/>
          <w:color w:val="auto"/>
          <w:szCs w:val="32"/>
        </w:rPr>
        <w:t>附件2</w:t>
      </w:r>
    </w:p>
    <w:p>
      <w:pPr>
        <w:adjustRightInd w:val="0"/>
        <w:snapToGrid w:val="0"/>
        <w:spacing w:line="560" w:lineRule="exact"/>
        <w:rPr>
          <w:rFonts w:eastAsia="黑体"/>
          <w:color w:val="auto"/>
          <w:szCs w:val="32"/>
        </w:rPr>
      </w:pPr>
    </w:p>
    <w:p>
      <w:pPr>
        <w:adjustRightInd w:val="0"/>
        <w:snapToGrid w:val="0"/>
        <w:spacing w:line="560" w:lineRule="exact"/>
        <w:jc w:val="center"/>
        <w:rPr>
          <w:rFonts w:eastAsia="方正小标宋_GBK"/>
          <w:color w:val="auto"/>
          <w:sz w:val="44"/>
          <w:szCs w:val="44"/>
        </w:rPr>
      </w:pPr>
      <w:r>
        <w:rPr>
          <w:rFonts w:eastAsia="方正小标宋_GBK"/>
          <w:color w:val="auto"/>
          <w:sz w:val="44"/>
          <w:szCs w:val="44"/>
        </w:rPr>
        <w:t>桂林市城市管理绩效考评实施细则</w:t>
      </w:r>
    </w:p>
    <w:p>
      <w:pPr>
        <w:adjustRightInd w:val="0"/>
        <w:snapToGrid w:val="0"/>
        <w:spacing w:line="560" w:lineRule="exact"/>
        <w:jc w:val="center"/>
        <w:rPr>
          <w:rFonts w:eastAsia="楷体_GB2312"/>
          <w:snapToGrid w:val="0"/>
          <w:color w:val="auto"/>
          <w:kern w:val="0"/>
          <w:szCs w:val="32"/>
        </w:rPr>
      </w:pPr>
      <w:r>
        <w:rPr>
          <w:rFonts w:eastAsia="楷体_GB2312"/>
          <w:snapToGrid w:val="0"/>
          <w:color w:val="auto"/>
          <w:kern w:val="0"/>
          <w:szCs w:val="32"/>
        </w:rPr>
        <w:t>（</w:t>
      </w:r>
      <w:r>
        <w:rPr>
          <w:rFonts w:eastAsia="仿宋_GB2312"/>
          <w:color w:val="auto"/>
          <w:szCs w:val="32"/>
        </w:rPr>
        <w:t>2023年修</w:t>
      </w:r>
      <w:r>
        <w:rPr>
          <w:rFonts w:eastAsia="楷体_GB2312"/>
          <w:snapToGrid w:val="0"/>
          <w:color w:val="auto"/>
          <w:kern w:val="0"/>
          <w:szCs w:val="32"/>
        </w:rPr>
        <w:t>订）</w:t>
      </w:r>
    </w:p>
    <w:p>
      <w:pPr>
        <w:adjustRightInd w:val="0"/>
        <w:snapToGrid w:val="0"/>
        <w:spacing w:line="560" w:lineRule="exact"/>
        <w:rPr>
          <w:rFonts w:eastAsia="仿宋_GB2312"/>
          <w:color w:val="auto"/>
          <w:szCs w:val="32"/>
        </w:rPr>
      </w:pPr>
    </w:p>
    <w:p>
      <w:pPr>
        <w:adjustRightInd w:val="0"/>
        <w:snapToGrid w:val="0"/>
        <w:spacing w:line="600" w:lineRule="exact"/>
        <w:ind w:firstLine="622" w:firstLineChars="200"/>
        <w:rPr>
          <w:rFonts w:eastAsia="仿宋_GB2312"/>
          <w:color w:val="auto"/>
          <w:szCs w:val="32"/>
        </w:rPr>
      </w:pPr>
      <w:r>
        <w:rPr>
          <w:rFonts w:eastAsia="仿宋_GB2312"/>
          <w:color w:val="auto"/>
          <w:szCs w:val="32"/>
        </w:rPr>
        <w:t>根据《桂林市人民政府关于印发桂林市城市管理绩效考评办法的通知》（市XX〔20XX〕X号）要求，为进一步更好地指导城市管理绩效考评工作，特制定本细则。</w:t>
      </w:r>
    </w:p>
    <w:p>
      <w:pPr>
        <w:adjustRightInd w:val="0"/>
        <w:snapToGrid w:val="0"/>
        <w:spacing w:line="600" w:lineRule="exact"/>
        <w:jc w:val="center"/>
        <w:outlineLvl w:val="0"/>
        <w:rPr>
          <w:rFonts w:eastAsia="黑体"/>
          <w:color w:val="auto"/>
          <w:szCs w:val="32"/>
        </w:rPr>
      </w:pPr>
      <w:r>
        <w:rPr>
          <w:rFonts w:eastAsia="黑体"/>
          <w:color w:val="auto"/>
          <w:szCs w:val="32"/>
        </w:rPr>
        <w:t>第一部分：两县六区城市管理绩效考评细则</w:t>
      </w:r>
    </w:p>
    <w:p>
      <w:pPr>
        <w:adjustRightInd w:val="0"/>
        <w:snapToGrid w:val="0"/>
        <w:spacing w:line="600" w:lineRule="exact"/>
        <w:ind w:firstLine="622" w:firstLineChars="200"/>
        <w:rPr>
          <w:rFonts w:eastAsia="仿宋_GB2312"/>
          <w:color w:val="auto"/>
          <w:szCs w:val="32"/>
        </w:rPr>
      </w:pPr>
      <w:r>
        <w:rPr>
          <w:rFonts w:eastAsia="仿宋_GB2312"/>
          <w:color w:val="auto"/>
          <w:szCs w:val="32"/>
        </w:rPr>
        <w:t>两县六区城市管理考评具体由月度考评、年度考评以及加分考评组成，实行百分制。</w:t>
      </w:r>
    </w:p>
    <w:p>
      <w:pPr>
        <w:numPr>
          <w:ilvl w:val="-1"/>
          <w:numId w:val="0"/>
        </w:numPr>
        <w:adjustRightInd w:val="0"/>
        <w:snapToGrid w:val="0"/>
        <w:spacing w:line="600" w:lineRule="exact"/>
        <w:ind w:left="0" w:firstLine="622" w:firstLineChars="200"/>
        <w:jc w:val="left"/>
        <w:outlineLvl w:val="1"/>
        <w:rPr>
          <w:rFonts w:hint="eastAsia" w:ascii="黑体" w:hAnsi="黑体" w:eastAsia="黑体" w:cs="黑体"/>
          <w:color w:val="auto"/>
          <w:szCs w:val="32"/>
        </w:rPr>
      </w:pPr>
      <w:r>
        <w:rPr>
          <w:rFonts w:hint="eastAsia" w:ascii="黑体" w:hAnsi="黑体" w:eastAsia="黑体" w:cs="黑体"/>
          <w:color w:val="auto"/>
          <w:szCs w:val="32"/>
          <w:lang w:eastAsia="zh-CN"/>
        </w:rPr>
        <w:t>一、</w:t>
      </w:r>
      <w:r>
        <w:rPr>
          <w:rFonts w:hint="eastAsia" w:ascii="黑体" w:hAnsi="黑体" w:eastAsia="黑体" w:cs="黑体"/>
          <w:color w:val="auto"/>
          <w:szCs w:val="32"/>
        </w:rPr>
        <w:t>月度考评</w:t>
      </w:r>
    </w:p>
    <w:p>
      <w:pPr>
        <w:adjustRightInd w:val="0"/>
        <w:snapToGrid w:val="0"/>
        <w:spacing w:line="600" w:lineRule="exact"/>
        <w:ind w:firstLine="622" w:firstLineChars="200"/>
        <w:rPr>
          <w:color w:val="auto"/>
        </w:rPr>
      </w:pPr>
      <w:r>
        <w:rPr>
          <w:rFonts w:eastAsia="仿宋_GB2312"/>
          <w:color w:val="auto"/>
          <w:szCs w:val="32"/>
        </w:rPr>
        <w:t>两县六区</w:t>
      </w:r>
      <w:r>
        <w:rPr>
          <w:rFonts w:eastAsia="仿宋_GB2312"/>
          <w:snapToGrid w:val="0"/>
          <w:color w:val="auto"/>
          <w:spacing w:val="-4"/>
          <w:kern w:val="0"/>
          <w:szCs w:val="32"/>
        </w:rPr>
        <w:t>月度考评包括城市管理日常工作考评（60分）、控违拆违考评（12分）、环境卫生管理考评（10分）、建筑垃圾处置管理考评（6分）、生活垃圾分类考评（6分）、媒体宣传考评（2分）、大气污染防治考评（4分），共计100分</w:t>
      </w:r>
      <w:r>
        <w:rPr>
          <w:rFonts w:eastAsia="仿宋_GB2312"/>
          <w:color w:val="auto"/>
          <w:szCs w:val="32"/>
        </w:rPr>
        <w:t>。</w:t>
      </w:r>
    </w:p>
    <w:p>
      <w:pPr>
        <w:numPr>
          <w:ilvl w:val="0"/>
          <w:numId w:val="0"/>
        </w:numPr>
        <w:adjustRightInd w:val="0"/>
        <w:snapToGrid w:val="0"/>
        <w:spacing w:line="600" w:lineRule="exact"/>
        <w:ind w:left="720"/>
        <w:jc w:val="left"/>
        <w:outlineLvl w:val="2"/>
        <w:rPr>
          <w:rFonts w:hint="eastAsia" w:eastAsia="方正楷体_GB2312" w:cs="方正仿宋_GB2312"/>
          <w:color w:val="auto"/>
          <w:szCs w:val="32"/>
        </w:rPr>
      </w:pPr>
      <w:r>
        <w:rPr>
          <w:rFonts w:hint="eastAsia" w:ascii="楷体" w:hAnsi="楷体" w:eastAsia="楷体" w:cs="楷体"/>
          <w:snapToGrid/>
          <w:color w:val="auto"/>
          <w:spacing w:val="0"/>
          <w:kern w:val="2"/>
          <w:szCs w:val="32"/>
        </w:rPr>
        <w:t>（</w:t>
      </w:r>
      <w:r>
        <w:rPr>
          <w:rFonts w:hint="eastAsia" w:ascii="楷体" w:hAnsi="楷体" w:eastAsia="楷体" w:cs="楷体"/>
          <w:color w:val="auto"/>
          <w:szCs w:val="32"/>
        </w:rPr>
        <w:t>一</w:t>
      </w:r>
      <w:r>
        <w:rPr>
          <w:rFonts w:hint="eastAsia" w:ascii="楷体" w:hAnsi="楷体" w:eastAsia="楷体" w:cs="楷体"/>
          <w:snapToGrid/>
          <w:color w:val="auto"/>
          <w:spacing w:val="0"/>
          <w:kern w:val="2"/>
          <w:szCs w:val="32"/>
        </w:rPr>
        <w:t>）</w:t>
      </w:r>
      <w:r>
        <w:rPr>
          <w:rFonts w:hint="eastAsia" w:ascii="楷体" w:hAnsi="楷体" w:eastAsia="楷体" w:cs="楷体"/>
          <w:color w:val="auto"/>
          <w:szCs w:val="32"/>
        </w:rPr>
        <w:t>城市管理日常工作考评</w:t>
      </w:r>
      <w:r>
        <w:rPr>
          <w:rFonts w:hint="default" w:eastAsia="楷体"/>
          <w:color w:val="auto"/>
          <w:szCs w:val="32"/>
        </w:rPr>
        <w:t>60</w:t>
      </w:r>
      <w:r>
        <w:rPr>
          <w:rFonts w:hint="eastAsia" w:ascii="楷体" w:hAnsi="楷体" w:eastAsia="楷体" w:cs="楷体"/>
          <w:color w:val="auto"/>
          <w:szCs w:val="32"/>
        </w:rPr>
        <w:t>分</w:t>
      </w:r>
    </w:p>
    <w:p>
      <w:pPr>
        <w:adjustRightInd w:val="0"/>
        <w:snapToGrid w:val="0"/>
        <w:spacing w:line="580" w:lineRule="exact"/>
        <w:ind w:firstLine="624"/>
        <w:rPr>
          <w:rFonts w:eastAsia="仿宋_GB2312"/>
          <w:snapToGrid w:val="0"/>
          <w:color w:val="auto"/>
          <w:kern w:val="0"/>
          <w:szCs w:val="32"/>
        </w:rPr>
      </w:pPr>
      <w:r>
        <w:rPr>
          <w:rFonts w:eastAsia="仿宋_GB2312"/>
          <w:snapToGrid w:val="0"/>
          <w:color w:val="auto"/>
          <w:kern w:val="0"/>
          <w:szCs w:val="32"/>
        </w:rPr>
        <w:t>由市城市管理信息中心对相关县区考评范围内</w:t>
      </w:r>
      <w:r>
        <w:rPr>
          <w:rFonts w:eastAsia="仿宋_GB2312"/>
          <w:color w:val="auto"/>
          <w:szCs w:val="32"/>
        </w:rPr>
        <w:t>主次干道、街道社区、背街小巷、城中村、城乡结合部白天和夜间的市容市貌、环境卫生、市政道路、公共设施、园林绿化、社会秩序、江河沿岸、车站码头、水体污染、</w:t>
      </w:r>
      <w:r>
        <w:rPr>
          <w:rFonts w:eastAsia="仿宋_GB2312"/>
          <w:snapToGrid w:val="0"/>
          <w:color w:val="auto"/>
          <w:spacing w:val="-4"/>
          <w:kern w:val="0"/>
          <w:szCs w:val="32"/>
        </w:rPr>
        <w:t>大件垃圾及非居民厨余垃圾收运</w:t>
      </w:r>
      <w:r>
        <w:rPr>
          <w:rFonts w:eastAsia="仿宋_GB2312"/>
          <w:color w:val="auto"/>
          <w:szCs w:val="32"/>
        </w:rPr>
        <w:t>、公共设施、农贸市场及周边、无物业管理小区、城中村、主次干道机动车与非机动车停放秩序、违法建筑、城管队员履职情况等的</w:t>
      </w:r>
      <w:r>
        <w:rPr>
          <w:rFonts w:eastAsia="仿宋_GB2312"/>
          <w:snapToGrid w:val="0"/>
          <w:color w:val="auto"/>
          <w:kern w:val="0"/>
          <w:szCs w:val="32"/>
        </w:rPr>
        <w:t>城市管理日常工作进行数字化考核、评分，计分后上报市城市管理领导小组办公室，考核周期统计时间为上月25日24时起至当月26日0时止。城市管理日常工作考评得分=处置率得分（43分）+一次完成率得分（5分）+高发小类案卷处置得分（4分）+工作量得分（4分）+督办整改率得分（2分）+挂账整改率得分（2分）+月度加分项目分数+月度扣分项目分数（扣分项目中每出现一例按规定扣分）。具体计算公式：</w:t>
      </w:r>
    </w:p>
    <w:p>
      <w:pPr>
        <w:adjustRightInd w:val="0"/>
        <w:snapToGrid w:val="0"/>
        <w:spacing w:line="580" w:lineRule="exact"/>
        <w:ind w:firstLine="624"/>
        <w:rPr>
          <w:rFonts w:hint="eastAsia" w:ascii="仿宋" w:hAnsi="仿宋" w:eastAsia="仿宋" w:cs="仿宋"/>
          <w:color w:val="auto"/>
          <w:szCs w:val="32"/>
          <w:lang w:val="en-US" w:eastAsia="zh-CN"/>
        </w:rPr>
      </w:pPr>
      <w:r>
        <w:rPr>
          <w:rFonts w:hint="default" w:eastAsia="仿宋"/>
          <w:color w:val="auto"/>
          <w:szCs w:val="32"/>
        </w:rPr>
        <w:t>1.</w:t>
      </w:r>
      <w:r>
        <w:rPr>
          <w:rFonts w:hint="eastAsia" w:ascii="仿宋" w:hAnsi="仿宋" w:eastAsia="仿宋" w:cs="仿宋"/>
          <w:color w:val="auto"/>
          <w:szCs w:val="32"/>
        </w:rPr>
        <w:t>处置率得分</w:t>
      </w:r>
      <w:r>
        <w:rPr>
          <w:rFonts w:hint="default" w:eastAsia="仿宋"/>
          <w:color w:val="auto"/>
          <w:szCs w:val="32"/>
        </w:rPr>
        <w:t>（</w:t>
      </w:r>
      <w:r>
        <w:rPr>
          <w:rFonts w:hint="default" w:eastAsia="仿宋"/>
          <w:color w:val="auto"/>
          <w:szCs w:val="32"/>
          <w:lang w:val="en-US" w:eastAsia="zh-CN"/>
        </w:rPr>
        <w:t>43</w:t>
      </w:r>
      <w:r>
        <w:rPr>
          <w:rFonts w:hint="default" w:eastAsia="仿宋"/>
          <w:color w:val="auto"/>
          <w:szCs w:val="32"/>
        </w:rPr>
        <w:t>分）</w:t>
      </w:r>
    </w:p>
    <w:p>
      <w:pPr>
        <w:adjustRightInd w:val="0"/>
        <w:snapToGrid w:val="0"/>
        <w:spacing w:line="586" w:lineRule="exact"/>
        <w:ind w:firstLine="622" w:firstLineChars="200"/>
        <w:rPr>
          <w:rFonts w:eastAsia="仿宋_GB2312"/>
          <w:color w:val="auto"/>
          <w:szCs w:val="32"/>
        </w:rPr>
      </w:pPr>
      <w:r>
        <w:rPr>
          <w:rFonts w:eastAsia="仿宋_GB2312"/>
          <w:color w:val="auto"/>
          <w:szCs w:val="32"/>
        </w:rPr>
        <w:t>处置率根据按时处置率、超时处置率占比赋分。具体计算公式：</w:t>
      </w:r>
    </w:p>
    <w:p>
      <w:pPr>
        <w:adjustRightInd w:val="0"/>
        <w:snapToGrid w:val="0"/>
        <w:spacing w:line="586" w:lineRule="exact"/>
        <w:ind w:firstLine="462" w:firstLineChars="200"/>
        <w:rPr>
          <w:rFonts w:ascii="Cambria Math" w:hAnsi="Cambria Math" w:eastAsia="仿宋_GB2312" w:cs="Cambria Math"/>
          <w:color w:val="auto"/>
          <w:sz w:val="24"/>
          <w:szCs w:val="32"/>
        </w:rPr>
      </w:pPr>
      <m:oMathPara>
        <m:oMath>
          <m:r>
            <m:rPr>
              <m:sty m:val="p"/>
            </m:rPr>
            <w:rPr>
              <w:rFonts w:ascii="Cambria Math" w:hAnsi="Cambria Math" w:eastAsia="仿宋_GB2312" w:cs="仿宋_GB2312"/>
              <w:color w:val="auto"/>
              <w:sz w:val="24"/>
              <w:szCs w:val="32"/>
            </w:rPr>
            <m:t xml:space="preserve">   </m:t>
          </m:r>
          <m:r>
            <m:rPr>
              <m:sty m:val="p"/>
            </m:rPr>
            <w:rPr>
              <w:rFonts w:ascii="Cambria Math" w:hAnsi="Cambria Math" w:eastAsia="仿宋_GB2312" w:cs="Cambria Math"/>
              <w:color w:val="auto"/>
              <w:sz w:val="24"/>
              <w:szCs w:val="32"/>
            </w:rPr>
            <m:t xml:space="preserve">       处置率得分=</m:t>
          </m:r>
          <m:d>
            <m:dPr>
              <m:begChr m:val="（"/>
              <m:endChr m:val="）"/>
              <m:ctrlPr>
                <w:rPr>
                  <w:rFonts w:ascii="Cambria Math" w:hAnsi="Cambria Math" w:eastAsia="仿宋_GB2312" w:cs="Cambria Math"/>
                  <w:color w:val="auto"/>
                  <w:sz w:val="24"/>
                  <w:szCs w:val="32"/>
                </w:rPr>
              </m:ctrlPr>
            </m:dPr>
            <m:e>
              <m:f>
                <m:fPr>
                  <m:ctrlPr>
                    <w:rPr>
                      <w:rFonts w:ascii="Cambria Math" w:hAnsi="Cambria Math" w:eastAsia="仿宋_GB2312" w:cs="Cambria Math"/>
                      <w:color w:val="auto"/>
                      <w:sz w:val="24"/>
                      <w:szCs w:val="32"/>
                    </w:rPr>
                  </m:ctrlPr>
                </m:fPr>
                <m:num>
                  <m:r>
                    <m:rPr>
                      <m:sty m:val="p"/>
                    </m:rPr>
                    <w:rPr>
                      <w:rFonts w:ascii="Cambria Math" w:hAnsi="Cambria Math" w:eastAsia="仿宋_GB2312" w:cs="Cambria Math"/>
                      <w:color w:val="auto"/>
                      <w:sz w:val="24"/>
                      <w:szCs w:val="32"/>
                    </w:rPr>
                    <m:t>按时处置数×1+超时处置数×0.8</m:t>
                  </m:r>
                  <m:ctrlPr>
                    <w:rPr>
                      <w:rFonts w:ascii="Cambria Math" w:hAnsi="Cambria Math" w:eastAsia="仿宋_GB2312" w:cs="Cambria Math"/>
                      <w:color w:val="auto"/>
                      <w:sz w:val="24"/>
                      <w:szCs w:val="32"/>
                    </w:rPr>
                  </m:ctrlPr>
                </m:num>
                <m:den>
                  <m:r>
                    <m:rPr>
                      <m:sty m:val="p"/>
                    </m:rPr>
                    <w:rPr>
                      <w:rFonts w:ascii="Cambria Math" w:hAnsi="Cambria Math" w:eastAsia="仿宋_GB2312" w:cs="Cambria Math"/>
                      <w:color w:val="auto"/>
                      <w:sz w:val="24"/>
                      <w:szCs w:val="32"/>
                    </w:rPr>
                    <m:t>应处置数</m:t>
                  </m:r>
                  <m:ctrlPr>
                    <w:rPr>
                      <w:rFonts w:ascii="Cambria Math" w:hAnsi="Cambria Math" w:eastAsia="仿宋_GB2312" w:cs="Cambria Math"/>
                      <w:color w:val="auto"/>
                      <w:sz w:val="24"/>
                      <w:szCs w:val="32"/>
                    </w:rPr>
                  </m:ctrlPr>
                </m:den>
              </m:f>
              <m:ctrlPr>
                <w:rPr>
                  <w:rFonts w:ascii="Cambria Math" w:hAnsi="Cambria Math" w:eastAsia="仿宋_GB2312" w:cs="Cambria Math"/>
                  <w:color w:val="auto"/>
                  <w:sz w:val="24"/>
                  <w:szCs w:val="32"/>
                </w:rPr>
              </m:ctrlPr>
            </m:e>
          </m:d>
          <m:r>
            <m:rPr>
              <m:sty m:val="p"/>
            </m:rPr>
            <w:rPr>
              <w:rFonts w:ascii="Cambria Math" w:hAnsi="Cambria Math" w:eastAsia="仿宋_GB2312" w:cs="Cambria Math"/>
              <w:color w:val="auto"/>
              <w:sz w:val="24"/>
              <w:szCs w:val="32"/>
            </w:rPr>
            <m:t>×43</m:t>
          </m:r>
        </m:oMath>
      </m:oMathPara>
    </w:p>
    <w:p>
      <w:pPr>
        <w:pStyle w:val="2"/>
        <w:rPr>
          <w:color w:val="auto"/>
        </w:rPr>
      </w:pPr>
    </w:p>
    <w:p>
      <w:pPr>
        <w:adjustRightInd w:val="0"/>
        <w:snapToGrid w:val="0"/>
        <w:spacing w:line="580" w:lineRule="exact"/>
        <w:ind w:firstLine="624"/>
        <w:rPr>
          <w:rFonts w:eastAsia="仿宋_GB2312"/>
          <w:color w:val="auto"/>
          <w:szCs w:val="32"/>
        </w:rPr>
      </w:pPr>
      <w:r>
        <w:rPr>
          <w:rFonts w:hint="default" w:eastAsia="仿宋"/>
          <w:color w:val="auto"/>
          <w:szCs w:val="32"/>
        </w:rPr>
        <w:t>2.</w:t>
      </w:r>
      <w:r>
        <w:rPr>
          <w:rFonts w:hint="eastAsia" w:ascii="仿宋" w:hAnsi="仿宋" w:eastAsia="仿宋" w:cs="仿宋"/>
          <w:color w:val="auto"/>
          <w:szCs w:val="32"/>
        </w:rPr>
        <w:t>一次完成率得分（</w:t>
      </w:r>
      <w:r>
        <w:rPr>
          <w:rFonts w:eastAsia="仿宋_GB2312"/>
          <w:color w:val="auto"/>
          <w:szCs w:val="32"/>
        </w:rPr>
        <w:t>5分）</w:t>
      </w:r>
    </w:p>
    <w:p>
      <w:pPr>
        <w:adjustRightInd w:val="0"/>
        <w:snapToGrid w:val="0"/>
        <w:spacing w:line="586" w:lineRule="exact"/>
        <w:ind w:firstLine="622" w:firstLineChars="200"/>
        <w:rPr>
          <w:rFonts w:eastAsia="仿宋_GB2312"/>
          <w:color w:val="auto"/>
          <w:szCs w:val="32"/>
        </w:rPr>
      </w:pPr>
      <w:r>
        <w:rPr>
          <w:rFonts w:eastAsia="仿宋_GB2312"/>
          <w:color w:val="auto"/>
          <w:szCs w:val="32"/>
        </w:rPr>
        <w:t>一次完成率是按照某县区按时完成且不返工、不延期的案卷处置情况在某县区处置数中的占比赋分。具体计算公式：</w:t>
      </w:r>
    </w:p>
    <w:p>
      <w:pPr>
        <w:pStyle w:val="2"/>
        <w:rPr>
          <w:color w:val="auto"/>
        </w:rPr>
      </w:pPr>
    </w:p>
    <w:p>
      <w:pPr>
        <w:adjustRightInd w:val="0"/>
        <w:snapToGrid w:val="0"/>
        <w:spacing w:line="586" w:lineRule="exact"/>
        <w:ind w:firstLine="462" w:firstLineChars="200"/>
        <w:rPr>
          <w:rFonts w:ascii="Cambria Math" w:hAnsi="Cambria Math" w:eastAsia="仿宋_GB2312" w:cs="Cambria Math"/>
          <w:color w:val="auto"/>
          <w:sz w:val="24"/>
          <w:szCs w:val="32"/>
        </w:rPr>
      </w:pPr>
      <m:oMathPara>
        <m:oMath>
          <m:r>
            <m:rPr>
              <m:sty m:val="p"/>
            </m:rPr>
            <w:rPr>
              <w:rFonts w:ascii="Cambria Math" w:hAnsi="Cambria Math" w:eastAsia="仿宋_GB2312" w:cs="Cambria Math"/>
              <w:color w:val="auto"/>
              <w:sz w:val="24"/>
              <w:szCs w:val="32"/>
            </w:rPr>
            <m:t>一次完成率得分=</m:t>
          </m:r>
          <m:d>
            <m:dPr>
              <m:ctrlPr>
                <w:rPr>
                  <w:rFonts w:ascii="Cambria Math" w:hAnsi="Cambria Math" w:eastAsia="仿宋_GB2312" w:cs="Cambria Math"/>
                  <w:color w:val="auto"/>
                  <w:sz w:val="24"/>
                  <w:szCs w:val="32"/>
                </w:rPr>
              </m:ctrlPr>
            </m:dPr>
            <m:e>
              <m:r>
                <m:rPr>
                  <m:sty m:val="p"/>
                </m:rPr>
                <w:rPr>
                  <w:rFonts w:ascii="Cambria Math" w:hAnsi="Cambria Math" w:eastAsia="仿宋_GB2312" w:cs="Cambria Math"/>
                  <w:color w:val="auto"/>
                  <w:sz w:val="24"/>
                  <w:szCs w:val="32"/>
                </w:rPr>
                <m:t>1−</m:t>
              </m:r>
              <m:f>
                <m:fPr>
                  <m:ctrlPr>
                    <w:rPr>
                      <w:rFonts w:ascii="Cambria Math" w:hAnsi="Cambria Math" w:eastAsia="仿宋_GB2312" w:cs="Cambria Math"/>
                      <w:color w:val="auto"/>
                      <w:sz w:val="24"/>
                      <w:szCs w:val="32"/>
                    </w:rPr>
                  </m:ctrlPr>
                </m:fPr>
                <m:num>
                  <m:r>
                    <m:rPr>
                      <m:sty m:val="p"/>
                    </m:rPr>
                    <w:rPr>
                      <w:rFonts w:ascii="Cambria Math" w:hAnsi="Cambria Math" w:eastAsia="仿宋_GB2312" w:cs="Cambria Math"/>
                      <w:color w:val="auto"/>
                      <w:sz w:val="24"/>
                      <w:szCs w:val="32"/>
                    </w:rPr>
                    <m:t>返工数+延期数</m:t>
                  </m:r>
                  <m:ctrlPr>
                    <w:rPr>
                      <w:rFonts w:ascii="Cambria Math" w:hAnsi="Cambria Math" w:eastAsia="仿宋_GB2312" w:cs="Cambria Math"/>
                      <w:color w:val="auto"/>
                      <w:sz w:val="24"/>
                      <w:szCs w:val="32"/>
                    </w:rPr>
                  </m:ctrlPr>
                </m:num>
                <m:den>
                  <m:r>
                    <m:rPr>
                      <m:sty m:val="p"/>
                    </m:rPr>
                    <w:rPr>
                      <w:rFonts w:ascii="Cambria Math" w:hAnsi="Cambria Math" w:eastAsia="仿宋_GB2312" w:cs="Cambria Math"/>
                      <w:color w:val="auto"/>
                      <w:sz w:val="24"/>
                      <w:szCs w:val="32"/>
                    </w:rPr>
                    <m:t>处置数</m:t>
                  </m:r>
                  <m:ctrlPr>
                    <w:rPr>
                      <w:rFonts w:ascii="Cambria Math" w:hAnsi="Cambria Math" w:eastAsia="仿宋_GB2312" w:cs="Cambria Math"/>
                      <w:color w:val="auto"/>
                      <w:sz w:val="24"/>
                      <w:szCs w:val="32"/>
                    </w:rPr>
                  </m:ctrlPr>
                </m:den>
              </m:f>
              <m:ctrlPr>
                <w:rPr>
                  <w:rFonts w:ascii="Cambria Math" w:hAnsi="Cambria Math" w:eastAsia="仿宋_GB2312" w:cs="Cambria Math"/>
                  <w:color w:val="auto"/>
                  <w:sz w:val="24"/>
                  <w:szCs w:val="32"/>
                </w:rPr>
              </m:ctrlPr>
            </m:e>
          </m:d>
          <m:r>
            <m:rPr>
              <m:sty m:val="p"/>
            </m:rPr>
            <w:rPr>
              <w:rFonts w:ascii="Cambria Math" w:hAnsi="Cambria Math" w:eastAsia="仿宋_GB2312" w:cs="Cambria Math"/>
              <w:color w:val="auto"/>
              <w:sz w:val="24"/>
              <w:szCs w:val="32"/>
            </w:rPr>
            <m:t>×5</m:t>
          </m:r>
        </m:oMath>
      </m:oMathPara>
    </w:p>
    <w:p>
      <w:pPr>
        <w:pStyle w:val="2"/>
        <w:rPr>
          <w:color w:val="auto"/>
        </w:rPr>
      </w:pPr>
    </w:p>
    <w:p>
      <w:pPr>
        <w:adjustRightInd w:val="0"/>
        <w:snapToGrid w:val="0"/>
        <w:spacing w:line="580" w:lineRule="exact"/>
        <w:ind w:firstLine="624"/>
        <w:rPr>
          <w:rFonts w:eastAsia="仿宋_GB2312"/>
          <w:color w:val="auto"/>
          <w:szCs w:val="32"/>
        </w:rPr>
      </w:pPr>
      <w:r>
        <w:rPr>
          <w:rFonts w:hint="default" w:eastAsia="仿宋"/>
          <w:color w:val="auto"/>
          <w:szCs w:val="32"/>
        </w:rPr>
        <w:t>3.</w:t>
      </w:r>
      <w:r>
        <w:rPr>
          <w:rFonts w:hint="eastAsia" w:ascii="仿宋" w:hAnsi="仿宋" w:eastAsia="仿宋" w:cs="仿宋"/>
          <w:color w:val="auto"/>
          <w:szCs w:val="32"/>
        </w:rPr>
        <w:t>高发小类案卷处置得分</w:t>
      </w:r>
      <w:r>
        <w:rPr>
          <w:rFonts w:eastAsia="仿宋_GB2312"/>
          <w:color w:val="auto"/>
          <w:szCs w:val="32"/>
        </w:rPr>
        <w:t>（4分）</w:t>
      </w:r>
    </w:p>
    <w:p>
      <w:pPr>
        <w:adjustRightInd w:val="0"/>
        <w:snapToGrid w:val="0"/>
        <w:spacing w:line="586" w:lineRule="exact"/>
        <w:ind w:firstLine="622" w:firstLineChars="200"/>
        <w:rPr>
          <w:rFonts w:eastAsia="仿宋_GB2312"/>
          <w:color w:val="auto"/>
          <w:szCs w:val="32"/>
        </w:rPr>
      </w:pPr>
      <w:r>
        <w:rPr>
          <w:rFonts w:eastAsia="仿宋_GB2312"/>
          <w:color w:val="auto"/>
          <w:szCs w:val="32"/>
        </w:rPr>
        <w:t>（1）</w:t>
      </w:r>
      <w:r>
        <w:rPr>
          <w:rFonts w:hint="eastAsia" w:ascii="仿宋" w:hAnsi="仿宋" w:eastAsia="仿宋" w:cs="仿宋"/>
          <w:color w:val="auto"/>
          <w:szCs w:val="32"/>
        </w:rPr>
        <w:t>高发小类发生率得分（</w:t>
      </w:r>
      <w:r>
        <w:rPr>
          <w:rFonts w:eastAsia="仿宋_GB2312"/>
          <w:color w:val="auto"/>
          <w:szCs w:val="32"/>
        </w:rPr>
        <w:t>2分）</w:t>
      </w:r>
    </w:p>
    <w:p>
      <w:pPr>
        <w:adjustRightInd w:val="0"/>
        <w:snapToGrid w:val="0"/>
        <w:spacing w:line="586" w:lineRule="exact"/>
        <w:ind w:firstLine="622" w:firstLineChars="200"/>
        <w:rPr>
          <w:rFonts w:eastAsia="黑体"/>
          <w:color w:val="auto"/>
          <w:szCs w:val="32"/>
        </w:rPr>
      </w:pPr>
      <w:r>
        <w:rPr>
          <w:rFonts w:eastAsia="仿宋_GB2312"/>
          <w:color w:val="auto"/>
          <w:szCs w:val="32"/>
        </w:rPr>
        <w:t>高发小类发生率选取某县区当月高发前五小类发生数与某县区应处置数作比较，具体计算公式：</w:t>
      </w:r>
    </w:p>
    <w:p>
      <w:pPr>
        <w:adjustRightInd w:val="0"/>
        <w:snapToGrid w:val="0"/>
        <w:spacing w:line="586" w:lineRule="exact"/>
        <w:ind w:firstLine="462" w:firstLineChars="200"/>
        <w:rPr>
          <w:rFonts w:ascii="Cambria Math" w:hAnsi="Cambria Math" w:eastAsia="仿宋_GB2312" w:cs="Cambria Math"/>
          <w:color w:val="auto"/>
          <w:sz w:val="24"/>
          <w:szCs w:val="28"/>
        </w:rPr>
      </w:pPr>
      <m:oMathPara>
        <m:oMathParaPr>
          <m:jc m:val="center"/>
        </m:oMathParaPr>
        <m:oMath>
          <m:r>
            <m:rPr>
              <m:sty m:val="p"/>
            </m:rPr>
            <w:rPr>
              <w:rFonts w:ascii="Cambria Math" w:hAnsi="Cambria Math" w:eastAsia="仿宋_GB2312" w:cs="Cambria Math"/>
              <w:color w:val="auto"/>
              <w:sz w:val="24"/>
              <w:szCs w:val="32"/>
            </w:rPr>
            <m:t>高发小类发生率得分=（1.2−</m:t>
          </m:r>
          <m:f>
            <m:fPr>
              <m:ctrlPr>
                <w:rPr>
                  <w:rFonts w:ascii="Cambria Math" w:hAnsi="Cambria Math" w:eastAsia="仿宋_GB2312" w:cs="Cambria Math"/>
                  <w:color w:val="auto"/>
                  <w:sz w:val="24"/>
                  <w:szCs w:val="32"/>
                </w:rPr>
              </m:ctrlPr>
            </m:fPr>
            <m:num>
              <m:r>
                <m:rPr>
                  <m:sty m:val="p"/>
                </m:rPr>
                <w:rPr>
                  <w:rFonts w:ascii="Cambria Math" w:hAnsi="Cambria Math" w:eastAsia="仿宋_GB2312" w:cs="Cambria Math"/>
                  <w:color w:val="auto"/>
                  <w:sz w:val="24"/>
                  <w:szCs w:val="32"/>
                </w:rPr>
                <m:t>某县区高发前五小类发生数</m:t>
              </m:r>
              <m:ctrlPr>
                <w:rPr>
                  <w:rFonts w:ascii="Cambria Math" w:hAnsi="Cambria Math" w:eastAsia="仿宋_GB2312" w:cs="Cambria Math"/>
                  <w:color w:val="auto"/>
                  <w:sz w:val="24"/>
                  <w:szCs w:val="32"/>
                </w:rPr>
              </m:ctrlPr>
            </m:num>
            <m:den>
              <m:r>
                <m:rPr>
                  <m:sty m:val="p"/>
                </m:rPr>
                <w:rPr>
                  <w:rFonts w:ascii="Cambria Math" w:hAnsi="Cambria Math" w:eastAsia="仿宋_GB2312" w:cs="Cambria Math"/>
                  <w:color w:val="auto"/>
                  <w:sz w:val="24"/>
                  <w:szCs w:val="32"/>
                </w:rPr>
                <m:t>某县区应处置数</m:t>
              </m:r>
              <m:ctrlPr>
                <w:rPr>
                  <w:rFonts w:ascii="Cambria Math" w:hAnsi="Cambria Math" w:eastAsia="仿宋_GB2312" w:cs="Cambria Math"/>
                  <w:color w:val="auto"/>
                  <w:sz w:val="24"/>
                  <w:szCs w:val="32"/>
                </w:rPr>
              </m:ctrlPr>
            </m:den>
          </m:f>
          <m:r>
            <m:rPr>
              <m:sty m:val="p"/>
            </m:rPr>
            <w:rPr>
              <w:rFonts w:ascii="Cambria Math" w:hAnsi="Cambria Math" w:eastAsia="仿宋_GB2312" w:cs="Cambria Math"/>
              <w:color w:val="auto"/>
              <w:sz w:val="24"/>
              <w:szCs w:val="32"/>
            </w:rPr>
            <m:t>）×2</m:t>
          </m:r>
        </m:oMath>
      </m:oMathPara>
    </w:p>
    <w:p>
      <w:pPr>
        <w:pStyle w:val="2"/>
        <w:rPr>
          <w:color w:val="auto"/>
        </w:rPr>
      </w:pPr>
    </w:p>
    <w:p>
      <w:pPr>
        <w:spacing w:line="586" w:lineRule="exact"/>
        <w:ind w:firstLine="622" w:firstLineChars="200"/>
        <w:jc w:val="left"/>
        <w:rPr>
          <w:rFonts w:hint="eastAsia" w:ascii="方正仿宋_GBK" w:hAnsi="方正仿宋_GBK" w:cs="方正仿宋_GBK"/>
          <w:color w:val="auto"/>
          <w:szCs w:val="32"/>
        </w:rPr>
      </w:pPr>
      <w:r>
        <w:rPr>
          <w:rFonts w:hint="eastAsia" w:ascii="方正仿宋_GBK" w:hAnsi="方正仿宋_GBK" w:eastAsia="方正仿宋_GBK" w:cs="方正仿宋_GBK"/>
          <w:color w:val="auto"/>
          <w:sz w:val="32"/>
          <w:szCs w:val="32"/>
        </w:rPr>
        <w:t>备注：当高发小类发生率</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20%</w:t>
      </w:r>
      <w:r>
        <w:rPr>
          <w:rFonts w:hint="eastAsia" w:ascii="方正仿宋_GBK" w:hAnsi="方正仿宋_GBK" w:eastAsia="方正仿宋_GBK" w:cs="方正仿宋_GBK"/>
          <w:color w:val="auto"/>
          <w:sz w:val="32"/>
          <w:szCs w:val="32"/>
        </w:rPr>
        <w:t>时，高发小类发生率得分为满分</w:t>
      </w:r>
      <w:r>
        <w:rPr>
          <w:rFonts w:hint="default" w:ascii="Times New Roman" w:hAnsi="Times New Roman" w:eastAsia="方正仿宋_GBK" w:cs="Times New Roman"/>
          <w:color w:val="auto"/>
          <w:sz w:val="32"/>
          <w:szCs w:val="32"/>
        </w:rPr>
        <w:t>2</w:t>
      </w:r>
      <w:r>
        <w:rPr>
          <w:rFonts w:hint="eastAsia" w:ascii="方正仿宋_GBK" w:hAnsi="方正仿宋_GBK" w:eastAsia="方正仿宋_GBK" w:cs="方正仿宋_GBK"/>
          <w:color w:val="auto"/>
          <w:sz w:val="32"/>
          <w:szCs w:val="32"/>
        </w:rPr>
        <w:t>分。</w:t>
      </w:r>
    </w:p>
    <w:p>
      <w:pPr>
        <w:adjustRightInd w:val="0"/>
        <w:snapToGrid w:val="0"/>
        <w:spacing w:line="586" w:lineRule="exact"/>
        <w:ind w:firstLine="622" w:firstLineChars="200"/>
        <w:rPr>
          <w:rFonts w:eastAsia="仿宋_GB2312"/>
          <w:color w:val="auto"/>
          <w:szCs w:val="32"/>
        </w:rPr>
      </w:pPr>
      <w:r>
        <w:rPr>
          <w:rFonts w:eastAsia="仿宋_GB2312"/>
          <w:color w:val="auto"/>
          <w:szCs w:val="32"/>
        </w:rPr>
        <w:t>（2）</w:t>
      </w:r>
      <w:r>
        <w:rPr>
          <w:rFonts w:hint="eastAsia" w:ascii="仿宋" w:hAnsi="仿宋" w:eastAsia="仿宋" w:cs="仿宋"/>
          <w:color w:val="auto"/>
          <w:szCs w:val="32"/>
        </w:rPr>
        <w:t>高发小类波动率得分</w:t>
      </w:r>
      <w:r>
        <w:rPr>
          <w:rFonts w:eastAsia="仿宋_GB2312"/>
          <w:color w:val="auto"/>
          <w:szCs w:val="32"/>
        </w:rPr>
        <w:t>（2分）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高发小类波动率是通过选取某县区当月高发前五小类各小类</w:t>
      </w:r>
      <w:r>
        <w:rPr>
          <w:rFonts w:eastAsia="仿宋_GB2312"/>
          <w:color w:val="auto"/>
          <w:szCs w:val="32"/>
          <w:u w:val="none"/>
        </w:rPr>
        <w:t>的发生数与</w:t>
      </w:r>
      <w:r>
        <w:rPr>
          <w:rFonts w:hint="eastAsia" w:eastAsia="仿宋_GB2312" w:cs="Times New Roman"/>
          <w:color w:val="auto"/>
          <w:szCs w:val="32"/>
          <w:highlight w:val="none"/>
          <w:u w:val="none"/>
          <w:lang w:val="en-US" w:eastAsia="zh-CN"/>
        </w:rPr>
        <w:t>当月</w:t>
      </w:r>
      <w:r>
        <w:rPr>
          <w:rFonts w:hint="eastAsia" w:ascii="Times New Roman" w:hAnsi="Times New Roman" w:eastAsia="仿宋_GB2312" w:cs="Times New Roman"/>
          <w:color w:val="auto"/>
          <w:szCs w:val="32"/>
          <w:highlight w:val="none"/>
          <w:u w:val="none"/>
          <w:lang w:val="en-US" w:eastAsia="zh-CN"/>
        </w:rPr>
        <w:t>某县区高发前五小类案卷总和的平均数作比较</w:t>
      </w:r>
      <w:r>
        <w:rPr>
          <w:rFonts w:eastAsia="仿宋_GB2312"/>
          <w:color w:val="auto"/>
          <w:szCs w:val="32"/>
        </w:rPr>
        <w:t>。具体计算公式：</w:t>
      </w:r>
    </w:p>
    <w:p>
      <w:pPr>
        <w:pStyle w:val="2"/>
        <w:spacing w:line="586" w:lineRule="exact"/>
        <w:ind w:firstLine="622"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高发小类波动率得分</w:t>
      </w:r>
      <m:oMath>
        <m:r>
          <m:rPr>
            <m:sty m:val="p"/>
          </m:rPr>
          <w:rPr>
            <w:rFonts w:hint="eastAsia" w:ascii="DejaVu Math TeX Gyre" w:hAnsi="DejaVu Math TeX Gyre" w:eastAsia="方正仿宋_GBK" w:cs="方正仿宋_GBK"/>
            <w:color w:val="auto"/>
            <w:sz w:val="32"/>
            <w:szCs w:val="32"/>
          </w:rPr>
          <m:t>=</m:t>
        </m:r>
      </m:oMath>
      <w:r>
        <w:rPr>
          <w:rFonts w:hint="eastAsia" w:ascii="方正仿宋_GBK" w:hAnsi="方正仿宋_GBK" w:eastAsia="方正仿宋_GBK" w:cs="方正仿宋_GBK"/>
          <w:color w:val="auto"/>
          <w:sz w:val="32"/>
          <w:szCs w:val="32"/>
        </w:rPr>
        <w:t>高发小类</w:t>
      </w:r>
      <w:r>
        <w:rPr>
          <w:rFonts w:hint="eastAsia" w:ascii="Times New Roman" w:hAnsi="Times New Roman" w:eastAsia="方正仿宋_GBK" w:cs="Times New Roman"/>
          <w:color w:val="auto"/>
          <w:sz w:val="32"/>
          <w:szCs w:val="24"/>
        </w:rPr>
        <w:t>A</w:t>
      </w:r>
      <w:r>
        <w:rPr>
          <w:rFonts w:hint="eastAsia" w:ascii="方正仿宋_GBK" w:hAnsi="方正仿宋_GBK" w:eastAsia="方正仿宋_GBK" w:cs="方正仿宋_GBK"/>
          <w:color w:val="auto"/>
          <w:sz w:val="32"/>
          <w:szCs w:val="32"/>
        </w:rPr>
        <w:t>波动率得分+高发小类</w:t>
      </w:r>
      <w:r>
        <w:rPr>
          <w:rFonts w:hint="eastAsia" w:ascii="Times New Roman" w:hAnsi="Times New Roman" w:eastAsia="方正仿宋_GBK" w:cs="Times New Roman"/>
          <w:color w:val="auto"/>
          <w:sz w:val="32"/>
          <w:szCs w:val="24"/>
        </w:rPr>
        <w:t>B</w:t>
      </w:r>
      <w:r>
        <w:rPr>
          <w:rFonts w:hint="eastAsia" w:ascii="方正仿宋_GBK" w:hAnsi="方正仿宋_GBK" w:eastAsia="方正仿宋_GBK" w:cs="方正仿宋_GBK"/>
          <w:color w:val="auto"/>
          <w:sz w:val="32"/>
          <w:szCs w:val="32"/>
        </w:rPr>
        <w:t>波动率得分+高发小类</w:t>
      </w:r>
      <w:r>
        <w:rPr>
          <w:rFonts w:hint="eastAsia" w:eastAsia="方正仿宋_GBK"/>
          <w:color w:val="auto"/>
          <w:sz w:val="32"/>
          <w:szCs w:val="24"/>
        </w:rPr>
        <w:t>C</w:t>
      </w:r>
      <w:r>
        <w:rPr>
          <w:rFonts w:hint="eastAsia" w:ascii="方正仿宋_GBK" w:hAnsi="方正仿宋_GBK" w:eastAsia="方正仿宋_GBK" w:cs="方正仿宋_GBK"/>
          <w:color w:val="auto"/>
          <w:sz w:val="32"/>
          <w:szCs w:val="32"/>
        </w:rPr>
        <w:t>波动率得分+高发小类</w:t>
      </w:r>
      <w:r>
        <w:rPr>
          <w:rFonts w:hint="eastAsia" w:eastAsia="方正仿宋_GBK"/>
          <w:color w:val="auto"/>
          <w:sz w:val="32"/>
          <w:szCs w:val="24"/>
        </w:rPr>
        <w:t>D</w:t>
      </w:r>
      <w:r>
        <w:rPr>
          <w:rFonts w:hint="eastAsia" w:ascii="方正仿宋_GBK" w:hAnsi="方正仿宋_GBK" w:eastAsia="方正仿宋_GBK" w:cs="方正仿宋_GBK"/>
          <w:color w:val="auto"/>
          <w:sz w:val="32"/>
          <w:szCs w:val="32"/>
        </w:rPr>
        <w:t>波动率得分+高发小类</w:t>
      </w:r>
      <w:r>
        <w:rPr>
          <w:rFonts w:hint="eastAsia" w:eastAsia="方正仿宋_GBK"/>
          <w:color w:val="auto"/>
          <w:sz w:val="32"/>
          <w:szCs w:val="24"/>
        </w:rPr>
        <w:t>E</w:t>
      </w:r>
      <w:r>
        <w:rPr>
          <w:rFonts w:hint="eastAsia" w:ascii="方正仿宋_GBK" w:hAnsi="方正仿宋_GBK" w:eastAsia="方正仿宋_GBK" w:cs="方正仿宋_GBK"/>
          <w:color w:val="auto"/>
          <w:sz w:val="32"/>
          <w:szCs w:val="32"/>
        </w:rPr>
        <w:t>波动率得分</w:t>
      </w:r>
    </w:p>
    <w:p>
      <w:pPr>
        <w:rPr>
          <w:rFonts w:eastAsia="仿宋"/>
          <w:color w:val="auto"/>
        </w:rPr>
      </w:pPr>
    </w:p>
    <w:p>
      <w:pPr>
        <w:pStyle w:val="2"/>
        <w:jc w:val="both"/>
        <w:rPr>
          <w:rFonts w:eastAsia="仿宋_GB2312"/>
          <w:color w:val="auto"/>
          <w:sz w:val="24"/>
          <w:szCs w:val="32"/>
        </w:rPr>
      </w:pPr>
      <m:oMathPara>
        <m:oMathParaPr>
          <m:jc m:val="center"/>
        </m:oMathParaPr>
        <m:oMath>
          <m:r>
            <m:rPr>
              <m:sty m:val="p"/>
            </m:rPr>
            <w:rPr>
              <w:rFonts w:hint="default" w:ascii="Cambria Math" w:hAnsi="Cambria Math" w:eastAsia="仿宋_GB2312"/>
              <w:color w:val="auto"/>
              <w:sz w:val="24"/>
              <w:szCs w:val="32"/>
              <w:lang w:val="en-US" w:eastAsia="zh-CN"/>
            </w:rPr>
            <m:t xml:space="preserve">                          </m:t>
          </m:r>
          <m:r>
            <m:rPr>
              <m:sty m:val="p"/>
            </m:rPr>
            <w:rPr>
              <w:rFonts w:ascii="Cambria Math" w:hAnsi="Cambria Math" w:eastAsia="仿宋_GB2312" w:cs="Cambria Math"/>
              <w:color w:val="auto"/>
              <w:sz w:val="24"/>
              <w:szCs w:val="32"/>
            </w:rPr>
            <m:t>高发小类A波动率得分=（1−高发小类A波动率）×0.4</m:t>
          </m:r>
        </m:oMath>
      </m:oMathPara>
    </w:p>
    <w:p>
      <w:pPr>
        <w:rPr>
          <w:color w:val="auto"/>
        </w:rPr>
      </w:pPr>
    </w:p>
    <w:p>
      <w:pPr>
        <w:pStyle w:val="2"/>
        <w:jc w:val="center"/>
        <w:rPr>
          <w:rFonts w:ascii="Cambria Math" w:hAnsi="Cambria Math" w:cs="Cambria Math"/>
          <w:color w:val="auto"/>
        </w:rPr>
      </w:pPr>
      <m:oMathPara>
        <m:oMathParaPr>
          <m:jc m:val="center"/>
        </m:oMathParaPr>
        <m:oMath>
          <m:r>
            <m:rPr>
              <m:sty m:val="p"/>
            </m:rPr>
            <w:rPr>
              <w:rFonts w:hint="default" w:ascii="Cambria Math" w:hAnsi="Cambria Math" w:eastAsia="仿宋_GB2312"/>
              <w:color w:val="auto"/>
              <w:sz w:val="24"/>
              <w:szCs w:val="32"/>
              <w:lang w:val="en-US" w:eastAsia="zh-CN"/>
            </w:rPr>
            <m:t xml:space="preserve">         </m:t>
          </m:r>
          <m:r>
            <m:rPr>
              <m:sty m:val="p"/>
            </m:rPr>
            <w:rPr>
              <w:rFonts w:hint="default" w:ascii="DejaVu Math TeX Gyre" w:hAnsi="DejaVu Math TeX Gyre" w:eastAsia="仿宋_GB2312" w:cs="Cambria Math"/>
              <w:color w:val="auto"/>
              <w:sz w:val="24"/>
              <w:szCs w:val="32"/>
              <w:lang w:val="en-US" w:eastAsia="zh-CN"/>
            </w:rPr>
            <m:t xml:space="preserve">  </m:t>
          </m:r>
          <m:r>
            <m:rPr>
              <m:sty m:val="p"/>
            </m:rPr>
            <w:rPr>
              <w:rFonts w:ascii="Cambria Math" w:hAnsi="Cambria Math" w:eastAsia="仿宋_GB2312" w:cs="Cambria Math"/>
              <w:color w:val="auto"/>
              <w:sz w:val="24"/>
              <w:szCs w:val="32"/>
            </w:rPr>
            <m:t>高发小类A波动率=</m:t>
          </m:r>
          <m:f>
            <m:fPr>
              <m:ctrlPr>
                <w:rPr>
                  <w:rFonts w:ascii="Cambria Math" w:hAnsi="Cambria Math" w:eastAsia="仿宋_GB2312" w:cs="Cambria Math"/>
                  <w:color w:val="auto"/>
                  <w:sz w:val="24"/>
                  <w:szCs w:val="32"/>
                </w:rPr>
              </m:ctrlPr>
            </m:fPr>
            <m:num>
              <m:r>
                <m:rPr>
                  <m:sty m:val="p"/>
                </m:rPr>
                <w:rPr>
                  <w:rFonts w:ascii="Cambria Math" w:hAnsi="Cambria Math" w:eastAsia="仿宋_GB2312" w:cs="Cambria Math"/>
                  <w:color w:val="auto"/>
                  <w:sz w:val="24"/>
                  <w:szCs w:val="32"/>
                </w:rPr>
                <m:t>A−高发小类平均数</m:t>
              </m:r>
              <m:ctrlPr>
                <w:rPr>
                  <w:rFonts w:ascii="Cambria Math" w:hAnsi="Cambria Math" w:eastAsia="仿宋_GB2312" w:cs="Cambria Math"/>
                  <w:color w:val="auto"/>
                  <w:sz w:val="24"/>
                  <w:szCs w:val="32"/>
                </w:rPr>
              </m:ctrlPr>
            </m:num>
            <m:den>
              <m:r>
                <m:rPr>
                  <m:sty m:val="p"/>
                </m:rPr>
                <w:rPr>
                  <w:rFonts w:ascii="Cambria Math" w:hAnsi="Cambria Math" w:eastAsia="仿宋_GB2312" w:cs="Cambria Math"/>
                  <w:color w:val="auto"/>
                  <w:sz w:val="24"/>
                  <w:szCs w:val="32"/>
                </w:rPr>
                <m:t>高发小类平均数</m:t>
              </m:r>
              <m:ctrlPr>
                <w:rPr>
                  <w:rFonts w:ascii="Cambria Math" w:hAnsi="Cambria Math" w:eastAsia="仿宋_GB2312" w:cs="Cambria Math"/>
                  <w:color w:val="auto"/>
                  <w:sz w:val="24"/>
                  <w:szCs w:val="32"/>
                </w:rPr>
              </m:ctrlPr>
            </m:den>
          </m:f>
          <m:r>
            <m:rPr>
              <m:sty m:val="p"/>
            </m:rPr>
            <w:rPr>
              <w:rFonts w:ascii="Cambria Math" w:hAnsi="Cambria Math" w:eastAsia="仿宋_GB2312" w:cs="Cambria Math"/>
              <w:color w:val="auto"/>
              <w:sz w:val="24"/>
              <w:szCs w:val="28"/>
            </w:rPr>
            <m:t>×</m:t>
          </m:r>
          <m:r>
            <m:rPr>
              <m:sty m:val="p"/>
            </m:rPr>
            <w:rPr>
              <w:rFonts w:ascii="Cambria Math" w:hAnsi="Cambria Math" w:eastAsia="仿宋_GB2312" w:cs="Cambria Math"/>
              <w:color w:val="auto"/>
              <w:sz w:val="24"/>
              <w:szCs w:val="32"/>
            </w:rPr>
            <m:t>100%</m:t>
          </m:r>
        </m:oMath>
      </m:oMathPara>
    </w:p>
    <w:p>
      <w:pPr>
        <w:tabs>
          <w:tab w:val="left" w:pos="2223"/>
        </w:tabs>
        <w:rPr>
          <w:rFonts w:eastAsia="仿宋_GB2312"/>
          <w:color w:val="auto"/>
          <w:highlight w:val="none"/>
        </w:rPr>
      </w:pPr>
      <m:oMathPara>
        <m:oMathParaPr>
          <m:jc m:val="center"/>
        </m:oMathParaPr>
        <m:oMath>
          <m:r>
            <m:rPr>
              <m:sty m:val="p"/>
            </m:rPr>
            <w:rPr>
              <w:rFonts w:ascii="Cambria Math" w:hAnsi="Cambria Math" w:eastAsia="仿宋_GB2312" w:cs="Cambria Math"/>
              <w:color w:val="auto"/>
              <w:sz w:val="24"/>
              <w:highlight w:val="none"/>
            </w:rPr>
            <m:t>高</m:t>
          </m:r>
          <m:r>
            <m:rPr>
              <m:sty m:val="p"/>
            </m:rPr>
            <w:rPr>
              <w:rFonts w:ascii="Cambria Math" w:hAnsi="Cambria Math" w:eastAsia="仿宋_GB2312" w:cs="Cambria Math"/>
              <w:color w:val="auto"/>
              <w:sz w:val="24"/>
              <w:szCs w:val="32"/>
              <w:highlight w:val="none"/>
            </w:rPr>
            <m:t>发小类平均数=</m:t>
          </m:r>
          <m:f>
            <m:fPr>
              <m:ctrlPr>
                <w:rPr>
                  <w:rFonts w:ascii="Cambria Math" w:hAnsi="Cambria Math" w:eastAsia="仿宋_GB2312" w:cs="Cambria Math"/>
                  <w:color w:val="auto"/>
                  <w:sz w:val="24"/>
                  <w:szCs w:val="32"/>
                </w:rPr>
              </m:ctrlPr>
            </m:fPr>
            <m:num>
              <m:r>
                <m:rPr>
                  <m:sty m:val="p"/>
                </m:rPr>
                <w:rPr>
                  <w:rFonts w:ascii="Cambria Math" w:hAnsi="Cambria Math" w:eastAsia="仿宋_GB2312" w:cs="Cambria Math"/>
                  <w:color w:val="auto"/>
                  <w:sz w:val="24"/>
                  <w:szCs w:val="32"/>
                  <w:highlight w:val="none"/>
                </w:rPr>
                <m:t>某县区高发</m:t>
              </m:r>
              <m:r>
                <m:rPr>
                  <m:sty m:val="p"/>
                </m:rPr>
                <w:rPr>
                  <w:rFonts w:hint="default" w:ascii="DejaVu Math TeX Gyre" w:hAnsi="DejaVu Math TeX Gyre" w:eastAsia="仿宋_GB2312" w:cs="Cambria Math"/>
                  <w:color w:val="auto"/>
                  <w:sz w:val="24"/>
                  <w:szCs w:val="32"/>
                  <w:highlight w:val="none"/>
                  <w:lang w:eastAsia="zh-CN"/>
                </w:rPr>
                <m:t>前五</m:t>
              </m:r>
              <m:r>
                <m:rPr>
                  <m:sty m:val="p"/>
                </m:rPr>
                <w:rPr>
                  <w:rFonts w:ascii="Cambria Math" w:hAnsi="Cambria Math" w:eastAsia="仿宋_GB2312" w:cs="Cambria Math"/>
                  <w:color w:val="auto"/>
                  <w:sz w:val="24"/>
                  <w:szCs w:val="32"/>
                  <w:highlight w:val="none"/>
                </w:rPr>
                <m:t>小类总数</m:t>
              </m:r>
              <m:ctrlPr>
                <w:rPr>
                  <w:rFonts w:ascii="Cambria Math" w:hAnsi="Cambria Math" w:eastAsia="仿宋_GB2312" w:cs="Cambria Math"/>
                  <w:color w:val="auto"/>
                  <w:sz w:val="24"/>
                  <w:szCs w:val="32"/>
                </w:rPr>
              </m:ctrlPr>
            </m:num>
            <m:den>
              <m:r>
                <m:rPr>
                  <m:sty m:val="p"/>
                </m:rPr>
                <w:rPr>
                  <w:rFonts w:ascii="Cambria Math" w:hAnsi="Cambria Math" w:eastAsia="仿宋_GB2312" w:cs="Cambria Math"/>
                  <w:color w:val="auto"/>
                  <w:sz w:val="24"/>
                  <w:szCs w:val="32"/>
                  <w:highlight w:val="none"/>
                </w:rPr>
                <m:t>5</m:t>
              </m:r>
              <m:ctrlPr>
                <w:rPr>
                  <w:rFonts w:ascii="Cambria Math" w:hAnsi="Cambria Math" w:eastAsia="仿宋_GB2312" w:cs="Cambria Math"/>
                  <w:color w:val="auto"/>
                  <w:sz w:val="24"/>
                  <w:szCs w:val="32"/>
                </w:rPr>
              </m:ctrlPr>
            </m:den>
          </m:f>
        </m:oMath>
      </m:oMathPara>
    </w:p>
    <w:p>
      <w:pPr>
        <w:adjustRightInd/>
        <w:snapToGrid/>
        <w:spacing w:line="240" w:lineRule="auto"/>
        <w:ind w:left="0" w:leftChars="0" w:firstLine="622" w:firstLineChars="200"/>
        <w:rPr>
          <w:ins w:id="0" w:author="1273093281qqcom" w:date="2023-09-11T10:31:13Z"/>
          <w:rFonts w:eastAsia="方正仿宋_GBK"/>
          <w:color w:val="auto"/>
          <w:szCs w:val="24"/>
        </w:rPr>
      </w:pPr>
      <w:r>
        <w:rPr>
          <w:rFonts w:eastAsia="方正仿宋_GBK"/>
          <w:color w:val="auto"/>
          <w:szCs w:val="24"/>
        </w:rPr>
        <w:t>备注：</w:t>
      </w:r>
      <w:r>
        <w:rPr>
          <w:rFonts w:hint="default" w:ascii="Times New Roman" w:hAnsi="Times New Roman" w:eastAsia="方正仿宋_GBK" w:cs="Times New Roman"/>
          <w:color w:val="auto"/>
          <w:szCs w:val="24"/>
        </w:rPr>
        <w:t>①</w:t>
      </w:r>
      <w:r>
        <w:rPr>
          <w:rFonts w:eastAsia="方正仿宋_GBK"/>
          <w:color w:val="auto"/>
          <w:szCs w:val="24"/>
        </w:rPr>
        <w:t>高发小类案卷前五分别用A、B、C、D、E5个字母</w:t>
      </w:r>
    </w:p>
    <w:p>
      <w:pPr>
        <w:adjustRightInd/>
        <w:snapToGrid/>
        <w:spacing w:line="240" w:lineRule="auto"/>
        <w:ind w:left="0" w:leftChars="0" w:firstLine="1866" w:firstLineChars="600"/>
        <w:rPr>
          <w:rFonts w:eastAsia="方正仿宋_GBK"/>
          <w:color w:val="auto"/>
          <w:szCs w:val="24"/>
        </w:rPr>
        <w:pPrChange w:id="1" w:author="1273093281qqcom" w:date="2023-09-11T10:31:34Z">
          <w:pPr>
            <w:adjustRightInd/>
            <w:snapToGrid/>
            <w:spacing w:line="240" w:lineRule="auto"/>
            <w:ind w:left="0" w:leftChars="0" w:firstLine="1866" w:firstLineChars="600"/>
          </w:pPr>
        </w:pPrChange>
      </w:pPr>
      <w:r>
        <w:rPr>
          <w:rFonts w:eastAsia="方正仿宋_GBK"/>
          <w:color w:val="auto"/>
          <w:szCs w:val="24"/>
        </w:rPr>
        <w:t>代表；</w:t>
      </w:r>
    </w:p>
    <w:p>
      <w:pPr>
        <w:adjustRightInd/>
        <w:snapToGrid/>
        <w:spacing w:line="240" w:lineRule="auto"/>
        <w:ind w:left="0" w:leftChars="0" w:firstLine="1555" w:firstLineChars="500"/>
        <w:rPr>
          <w:rFonts w:eastAsia="方正仿宋_GBK"/>
          <w:szCs w:val="24"/>
        </w:rPr>
      </w:pPr>
      <w:r>
        <w:rPr>
          <w:rFonts w:hint="default" w:ascii="Times New Roman" w:hAnsi="Times New Roman" w:eastAsia="方正仿宋_GBK" w:cs="Times New Roman"/>
          <w:color w:val="auto"/>
          <w:szCs w:val="24"/>
        </w:rPr>
        <w:t>②</w:t>
      </w:r>
      <w:r>
        <w:rPr>
          <w:rFonts w:eastAsia="方正仿宋_GBK"/>
          <w:color w:val="auto"/>
          <w:szCs w:val="24"/>
        </w:rPr>
        <w:t>高发小类B、C、D、E波动率得分计算公式及赋分</w:t>
      </w:r>
    </w:p>
    <w:p>
      <w:pPr>
        <w:adjustRightInd/>
        <w:snapToGrid/>
        <w:spacing w:line="240" w:lineRule="auto"/>
        <w:ind w:left="0" w:leftChars="0" w:firstLine="1866" w:firstLineChars="600"/>
        <w:rPr>
          <w:rFonts w:eastAsia="方正仿宋_GBK"/>
          <w:szCs w:val="24"/>
        </w:rPr>
      </w:pPr>
      <w:r>
        <w:rPr>
          <w:rFonts w:eastAsia="方正仿宋_GBK"/>
          <w:color w:val="auto"/>
          <w:szCs w:val="24"/>
        </w:rPr>
        <w:t>与高发小类A波动率一致。当某高发小类的波动率</w:t>
      </w:r>
    </w:p>
    <w:p>
      <w:pPr>
        <w:adjustRightInd/>
        <w:snapToGrid/>
        <w:spacing w:line="240" w:lineRule="auto"/>
        <w:ind w:left="0" w:leftChars="0" w:firstLine="1866" w:firstLineChars="600"/>
        <w:rPr>
          <w:rFonts w:eastAsia="方正仿宋_GBK"/>
          <w:szCs w:val="24"/>
        </w:rPr>
      </w:pPr>
      <w:r>
        <w:rPr>
          <w:rFonts w:hint="default" w:eastAsia="方正仿宋_GBK"/>
          <w:color w:val="auto"/>
          <w:szCs w:val="24"/>
          <w:lang w:eastAsia="zh-CN"/>
        </w:rPr>
        <w:t>≤</w:t>
      </w:r>
      <w:r>
        <w:rPr>
          <w:rFonts w:eastAsia="方正仿宋_GBK"/>
          <w:color w:val="auto"/>
          <w:szCs w:val="24"/>
        </w:rPr>
        <w:t>0%时，单项小类波动率得0.4分；当某高发小类</w:t>
      </w:r>
    </w:p>
    <w:p>
      <w:pPr>
        <w:adjustRightInd/>
        <w:snapToGrid/>
        <w:spacing w:line="240" w:lineRule="auto"/>
        <w:ind w:left="0" w:leftChars="0" w:firstLine="1866" w:firstLineChars="600"/>
        <w:rPr>
          <w:rFonts w:eastAsia="方正仿宋_GBK"/>
          <w:color w:val="auto"/>
          <w:szCs w:val="24"/>
        </w:rPr>
      </w:pPr>
      <w:r>
        <w:rPr>
          <w:rFonts w:eastAsia="方正仿宋_GBK"/>
          <w:color w:val="auto"/>
          <w:szCs w:val="24"/>
        </w:rPr>
        <w:t>的波动率</w:t>
      </w:r>
      <w:r>
        <w:rPr>
          <w:rFonts w:hint="default" w:eastAsia="方正仿宋_GBK"/>
          <w:color w:val="auto"/>
          <w:szCs w:val="24"/>
          <w:lang w:eastAsia="zh-CN"/>
        </w:rPr>
        <w:t>≥</w:t>
      </w:r>
      <w:r>
        <w:rPr>
          <w:rFonts w:eastAsia="方正仿宋_GBK"/>
          <w:color w:val="auto"/>
          <w:szCs w:val="24"/>
        </w:rPr>
        <w:t>100%时，单项小类波动率得0分。</w:t>
      </w:r>
    </w:p>
    <w:p>
      <w:pPr>
        <w:adjustRightInd w:val="0"/>
        <w:snapToGrid w:val="0"/>
        <w:spacing w:line="580" w:lineRule="exact"/>
        <w:ind w:firstLine="624"/>
        <w:rPr>
          <w:rFonts w:eastAsia="仿宋_GB2312"/>
          <w:color w:val="auto"/>
          <w:szCs w:val="32"/>
        </w:rPr>
      </w:pPr>
      <w:r>
        <w:rPr>
          <w:rFonts w:eastAsia="仿宋_GB2312"/>
          <w:color w:val="auto"/>
          <w:szCs w:val="32"/>
        </w:rPr>
        <w:t>4.</w:t>
      </w:r>
      <w:r>
        <w:rPr>
          <w:rFonts w:hint="eastAsia" w:ascii="仿宋" w:hAnsi="仿宋" w:eastAsia="仿宋" w:cs="仿宋"/>
          <w:color w:val="auto"/>
          <w:szCs w:val="32"/>
        </w:rPr>
        <w:t>工作量得分</w:t>
      </w:r>
      <w:r>
        <w:rPr>
          <w:rFonts w:eastAsia="仿宋_GB2312"/>
          <w:color w:val="auto"/>
          <w:szCs w:val="32"/>
        </w:rPr>
        <w:t>（4分）</w:t>
      </w:r>
    </w:p>
    <w:p>
      <w:pPr>
        <w:adjustRightInd w:val="0"/>
        <w:snapToGrid w:val="0"/>
        <w:spacing w:line="600" w:lineRule="exact"/>
        <w:ind w:firstLine="622" w:firstLineChars="200"/>
        <w:rPr>
          <w:rFonts w:eastAsia="仿宋_GB2312"/>
          <w:color w:val="auto"/>
        </w:rPr>
      </w:pPr>
      <w:r>
        <w:rPr>
          <w:rFonts w:eastAsia="仿宋_GB2312"/>
          <w:color w:val="auto"/>
          <w:szCs w:val="32"/>
        </w:rPr>
        <w:t>工作量指标选取某县区当月案卷应处置数与历年平均水平作比较；选取某县区当月处置数与两县六区应处置数总数作比较。具体计算公式：</w:t>
      </w:r>
    </w:p>
    <w:p>
      <w:pPr>
        <w:pStyle w:val="2"/>
        <w:rPr>
          <w:color w:val="auto"/>
          <w:u w:val="single"/>
        </w:rPr>
      </w:pPr>
    </w:p>
    <w:p>
      <w:pPr>
        <w:adjustRightInd w:val="0"/>
        <w:snapToGrid w:val="0"/>
        <w:spacing w:line="600" w:lineRule="exact"/>
        <w:ind w:firstLine="1386" w:firstLineChars="600"/>
        <w:jc w:val="left"/>
        <w:rPr>
          <w:rFonts w:eastAsia="仿宋_GB2312"/>
          <w:color w:val="auto"/>
          <w:sz w:val="24"/>
          <w:szCs w:val="28"/>
          <w:highlight w:val="none"/>
        </w:rPr>
      </w:pPr>
      <m:oMathPara>
        <m:oMathParaPr>
          <m:jc m:val="left"/>
        </m:oMathParaPr>
        <m:oMath>
          <m:r>
            <m:rPr>
              <m:sty m:val="p"/>
            </m:rPr>
            <w:rPr>
              <w:rFonts w:ascii="Cambria Math" w:hAnsi="Cambria Math" w:eastAsia="仿宋_GB2312" w:cs="Cambria Math"/>
              <w:color w:val="auto"/>
              <w:sz w:val="24"/>
              <w:szCs w:val="28"/>
              <w:highlight w:val="none"/>
            </w:rPr>
            <m:t xml:space="preserve">                             </m:t>
          </m:r>
          <m:r>
            <m:rPr>
              <m:sty m:val="p"/>
            </m:rPr>
            <w:rPr>
              <w:rFonts w:hint="default" w:ascii="DejaVu Math TeX Gyre" w:hAnsi="DejaVu Math TeX Gyre" w:eastAsia="仿宋_GB2312" w:cs="Cambria Math"/>
              <w:color w:val="auto"/>
              <w:sz w:val="24"/>
              <w:szCs w:val="28"/>
              <w:highlight w:val="none"/>
              <w:lang w:val="en-US" w:eastAsia="zh-CN"/>
            </w:rPr>
            <m:t xml:space="preserve">        </m:t>
          </m:r>
          <m:r>
            <m:rPr>
              <m:sty m:val="p"/>
            </m:rPr>
            <w:rPr>
              <w:rFonts w:ascii="Cambria Math" w:hAnsi="Cambria Math" w:eastAsia="仿宋_GB2312" w:cs="Cambria Math"/>
              <w:color w:val="auto"/>
              <w:sz w:val="24"/>
              <w:szCs w:val="28"/>
              <w:highlight w:val="none"/>
            </w:rPr>
            <m:t>工作量得分=工作量变化率得分+工作量占比得分</m:t>
          </m:r>
        </m:oMath>
      </m:oMathPara>
    </w:p>
    <w:p>
      <w:pPr>
        <w:adjustRightInd w:val="0"/>
        <w:snapToGrid w:val="0"/>
        <w:spacing w:line="600" w:lineRule="exact"/>
        <w:jc w:val="left"/>
        <w:rPr>
          <w:rFonts w:ascii="Cambria Math" w:hAnsi="Cambria Math" w:eastAsia="仿宋_GB2312" w:cs="Cambria Math"/>
          <w:b w:val="0"/>
          <w:i w:val="0"/>
          <w:color w:val="auto"/>
          <w:sz w:val="24"/>
          <w:szCs w:val="21"/>
          <w:highlight w:val="none"/>
        </w:rPr>
      </w:pPr>
      <m:oMathPara>
        <m:oMath>
          <m:r>
            <m:rPr>
              <m:sty m:val="p"/>
            </m:rPr>
            <w:rPr>
              <w:rFonts w:ascii="Cambria Math" w:hAnsi="Cambria Math" w:eastAsia="仿宋_GB2312" w:cs="Cambria Math"/>
              <w:color w:val="auto"/>
              <w:sz w:val="21"/>
              <w:szCs w:val="21"/>
              <w:highlight w:val="none"/>
            </w:rPr>
            <m:t>工作量变化率得分=</m:t>
          </m:r>
          <m:r>
            <m:rPr>
              <m:sty m:val="p"/>
            </m:rPr>
            <w:rPr>
              <w:rFonts w:ascii="Cambria Math" w:hAnsi="Cambria Math" w:eastAsia="仿宋_GB2312" w:cs="Cambria Math"/>
              <w:color w:val="auto"/>
              <w:sz w:val="24"/>
              <w:szCs w:val="32"/>
              <w:highlight w:val="none"/>
            </w:rPr>
            <m:t>0.6</m:t>
          </m:r>
          <m:r>
            <m:rPr>
              <m:sty m:val="p"/>
            </m:rPr>
            <w:rPr>
              <w:rFonts w:ascii="Cambria Math" w:hAnsi="Cambria Math" w:eastAsia="仿宋_GB2312" w:cs="Cambria Math"/>
              <w:color w:val="auto"/>
              <w:sz w:val="24"/>
              <w:szCs w:val="21"/>
              <w:highlight w:val="none"/>
            </w:rPr>
            <m:t>+工作变化率×</m:t>
          </m:r>
          <m:r>
            <m:rPr>
              <m:sty m:val="p"/>
            </m:rPr>
            <w:rPr>
              <w:rFonts w:ascii="Cambria Math" w:hAnsi="Cambria Math" w:eastAsia="仿宋_GB2312" w:cs="Cambria Math"/>
              <w:color w:val="auto"/>
              <w:sz w:val="24"/>
              <w:szCs w:val="32"/>
              <w:highlight w:val="none"/>
            </w:rPr>
            <m:t>（−2）×100</m:t>
          </m:r>
        </m:oMath>
      </m:oMathPara>
    </w:p>
    <w:p>
      <w:pPr>
        <w:pStyle w:val="2"/>
        <w:ind w:firstLine="231" w:firstLineChars="100"/>
        <w:rPr>
          <w:color w:val="auto"/>
          <w:highlight w:val="none"/>
        </w:rPr>
      </w:pPr>
      <m:oMathPara>
        <m:oMathParaPr>
          <m:jc m:val="center"/>
        </m:oMathParaPr>
        <m:oMath>
          <m:r>
            <m:rPr>
              <m:sty m:val="p"/>
            </m:rPr>
            <w:rPr>
              <w:rFonts w:hint="default" w:ascii="Cambria Math" w:hAnsi="Cambria Math" w:eastAsia="仿宋_GB2312"/>
              <w:color w:val="auto"/>
              <w:sz w:val="24"/>
              <w:szCs w:val="21"/>
              <w:highlight w:val="none"/>
              <w:lang w:val="en-US" w:eastAsia="zh-CN"/>
            </w:rPr>
            <m:t xml:space="preserve">                            </m:t>
          </m:r>
          <m:r>
            <m:rPr>
              <m:sty m:val="p"/>
            </m:rPr>
            <w:rPr>
              <w:rFonts w:ascii="Cambria Math" w:hAnsi="Cambria Math" w:eastAsia="仿宋_GB2312" w:cs="Cambria Math"/>
              <w:color w:val="auto"/>
              <w:sz w:val="24"/>
              <w:szCs w:val="21"/>
              <w:highlight w:val="none"/>
            </w:rPr>
            <m:t>工作变化率=</m:t>
          </m:r>
          <m:f>
            <m:fPr>
              <m:ctrlPr>
                <w:rPr>
                  <w:rFonts w:ascii="Cambria Math" w:hAnsi="Cambria Math" w:eastAsia="仿宋_GB2312" w:cs="Cambria Math"/>
                  <w:color w:val="auto"/>
                  <w:sz w:val="24"/>
                  <w:szCs w:val="21"/>
                  <w:highlight w:val="none"/>
                </w:rPr>
              </m:ctrlPr>
            </m:fPr>
            <m:num>
              <m:r>
                <m:rPr>
                  <m:sty m:val="p"/>
                </m:rPr>
                <w:rPr>
                  <w:rFonts w:ascii="Cambria Math" w:hAnsi="Cambria Math" w:eastAsia="仿宋_GB2312" w:cs="Cambria Math"/>
                  <w:color w:val="auto"/>
                  <w:sz w:val="24"/>
                  <w:szCs w:val="21"/>
                  <w:highlight w:val="none"/>
                </w:rPr>
                <m:t>（</m:t>
              </m:r>
              <m:r>
                <m:rPr>
                  <m:sty m:val="p"/>
                </m:rPr>
                <w:rPr>
                  <w:rFonts w:ascii="Cambria Math" w:hAnsi="Cambria Math" w:eastAsia="仿宋_GB2312" w:cs="Cambria Math"/>
                  <w:color w:val="auto"/>
                  <w:sz w:val="24"/>
                  <w:szCs w:val="32"/>
                  <w:highlight w:val="none"/>
                </w:rPr>
                <m:t>当月应处置数−历年每月平均应处置数</m:t>
              </m:r>
              <m:r>
                <m:rPr>
                  <m:sty m:val="p"/>
                </m:rPr>
                <w:rPr>
                  <w:rFonts w:ascii="Cambria Math" w:hAnsi="Cambria Math" w:eastAsia="仿宋_GB2312" w:cs="Cambria Math"/>
                  <w:color w:val="auto"/>
                  <w:sz w:val="24"/>
                  <w:szCs w:val="21"/>
                  <w:highlight w:val="none"/>
                </w:rPr>
                <m:t>）</m:t>
              </m:r>
              <m:ctrlPr>
                <w:rPr>
                  <w:rFonts w:ascii="Cambria Math" w:hAnsi="Cambria Math" w:eastAsia="仿宋_GB2312" w:cs="Cambria Math"/>
                  <w:color w:val="auto"/>
                  <w:sz w:val="24"/>
                  <w:szCs w:val="21"/>
                  <w:highlight w:val="none"/>
                </w:rPr>
              </m:ctrlPr>
            </m:num>
            <m:den>
              <m:r>
                <m:rPr>
                  <m:sty m:val="p"/>
                </m:rPr>
                <w:rPr>
                  <w:rFonts w:ascii="Cambria Math" w:hAnsi="Cambria Math" w:eastAsia="仿宋_GB2312" w:cs="Cambria Math"/>
                  <w:color w:val="auto"/>
                  <w:sz w:val="24"/>
                  <w:szCs w:val="32"/>
                  <w:highlight w:val="none"/>
                </w:rPr>
                <m:t>历年每月平均应处置数</m:t>
              </m:r>
              <m:ctrlPr>
                <w:rPr>
                  <w:rFonts w:ascii="Cambria Math" w:hAnsi="Cambria Math" w:eastAsia="仿宋_GB2312" w:cs="Cambria Math"/>
                  <w:color w:val="auto"/>
                  <w:sz w:val="24"/>
                  <w:szCs w:val="21"/>
                  <w:highlight w:val="none"/>
                </w:rPr>
              </m:ctrlPr>
            </m:den>
          </m:f>
          <m:r>
            <m:rPr>
              <m:sty m:val="p"/>
            </m:rPr>
            <w:rPr>
              <w:rFonts w:ascii="Cambria Math" w:hAnsi="Cambria Math" w:eastAsia="仿宋_GB2312" w:cs="Cambria Math"/>
              <w:color w:val="auto"/>
              <w:sz w:val="24"/>
              <w:szCs w:val="21"/>
              <w:highlight w:val="none"/>
            </w:rPr>
            <m:t>×</m:t>
          </m:r>
          <m:r>
            <m:rPr>
              <m:sty m:val="p"/>
            </m:rPr>
            <w:rPr>
              <w:rFonts w:ascii="Cambria Math" w:hAnsi="Cambria Math" w:eastAsia="仿宋_GB2312" w:cs="Cambria Math"/>
              <w:color w:val="auto"/>
              <w:sz w:val="24"/>
              <w:szCs w:val="32"/>
              <w:highlight w:val="none"/>
            </w:rPr>
            <m:t>100%</m:t>
          </m:r>
        </m:oMath>
      </m:oMathPara>
    </w:p>
    <w:p>
      <w:pPr>
        <w:pStyle w:val="2"/>
        <w:ind w:firstLine="2772" w:firstLineChars="1200"/>
        <w:rPr>
          <w:rFonts w:eastAsia="仿宋_GB2312"/>
          <w:color w:val="auto"/>
          <w:sz w:val="24"/>
          <w:szCs w:val="28"/>
          <w:highlight w:val="none"/>
        </w:rPr>
      </w:pPr>
      <m:oMathPara>
        <m:oMathParaPr>
          <m:jc m:val="left"/>
        </m:oMathParaPr>
        <m:oMath>
          <m:r>
            <m:rPr>
              <m:sty m:val="p"/>
            </m:rPr>
            <w:rPr>
              <w:rFonts w:ascii="Cambria Math" w:hAnsi="Cambria Math" w:eastAsia="仿宋_GB2312" w:cs="Cambria Math"/>
              <w:color w:val="auto"/>
              <w:sz w:val="24"/>
              <w:szCs w:val="28"/>
              <w:highlight w:val="none"/>
            </w:rPr>
            <m:t xml:space="preserve">                                   </m:t>
          </m:r>
          <m:r>
            <m:rPr>
              <m:sty m:val="p"/>
            </m:rPr>
            <w:rPr>
              <w:rFonts w:hint="default" w:ascii="DejaVu Math TeX Gyre" w:hAnsi="DejaVu Math TeX Gyre" w:eastAsia="仿宋_GB2312" w:cs="Cambria Math"/>
              <w:color w:val="auto"/>
              <w:sz w:val="24"/>
              <w:szCs w:val="28"/>
              <w:highlight w:val="none"/>
              <w:lang w:val="en-US" w:eastAsia="zh-CN"/>
            </w:rPr>
            <m:t xml:space="preserve"> </m:t>
          </m:r>
          <m:r>
            <m:rPr>
              <m:sty m:val="p"/>
            </m:rPr>
            <w:rPr>
              <w:rFonts w:hint="default" w:ascii="Cambria Math" w:hAnsi="Cambria Math" w:eastAsia="仿宋_GB2312"/>
              <w:color w:val="auto"/>
              <w:sz w:val="24"/>
              <w:szCs w:val="28"/>
              <w:highlight w:val="none"/>
              <w:lang w:val="en-US" w:eastAsia="zh-CN"/>
            </w:rPr>
            <m:t xml:space="preserve">  </m:t>
          </m:r>
          <m:r>
            <m:rPr>
              <m:sty m:val="p"/>
            </m:rPr>
            <w:rPr>
              <w:rFonts w:ascii="Cambria Math" w:hAnsi="Cambria Math" w:eastAsia="仿宋_GB2312" w:cs="Cambria Math"/>
              <w:color w:val="auto"/>
              <w:sz w:val="24"/>
              <w:szCs w:val="28"/>
              <w:highlight w:val="none"/>
            </w:rPr>
            <m:t>历年每月平均应处置数=</m:t>
          </m:r>
          <m:f>
            <m:fPr>
              <m:ctrlPr>
                <w:rPr>
                  <w:rFonts w:ascii="Cambria Math" w:hAnsi="Cambria Math" w:eastAsia="仿宋_GB2312" w:cs="Cambria Math"/>
                  <w:color w:val="auto"/>
                  <w:sz w:val="24"/>
                  <w:szCs w:val="28"/>
                  <w:highlight w:val="none"/>
                </w:rPr>
              </m:ctrlPr>
            </m:fPr>
            <m:num>
              <m:r>
                <m:rPr>
                  <m:sty m:val="p"/>
                </m:rPr>
                <w:rPr>
                  <w:rFonts w:ascii="Cambria Math" w:hAnsi="Cambria Math" w:eastAsia="仿宋_GB2312" w:cs="Cambria Math"/>
                  <w:color w:val="auto"/>
                  <w:sz w:val="24"/>
                  <w:szCs w:val="28"/>
                  <w:highlight w:val="none"/>
                </w:rPr>
                <m:t>某县区历年应处置数之和</m:t>
              </m:r>
              <m:ctrlPr>
                <w:rPr>
                  <w:rFonts w:ascii="Cambria Math" w:hAnsi="Cambria Math" w:eastAsia="仿宋_GB2312" w:cs="Cambria Math"/>
                  <w:color w:val="auto"/>
                  <w:sz w:val="24"/>
                  <w:szCs w:val="28"/>
                  <w:highlight w:val="none"/>
                </w:rPr>
              </m:ctrlPr>
            </m:num>
            <m:den>
              <m:r>
                <m:rPr>
                  <m:sty m:val="p"/>
                </m:rPr>
                <w:rPr>
                  <w:rFonts w:ascii="Cambria Math" w:hAnsi="Cambria Math" w:eastAsia="仿宋_GB2312" w:cs="Cambria Math"/>
                  <w:color w:val="auto"/>
                  <w:sz w:val="24"/>
                  <w:szCs w:val="28"/>
                  <w:highlight w:val="none"/>
                </w:rPr>
                <m:t>总月份</m:t>
              </m:r>
              <m:ctrlPr>
                <w:rPr>
                  <w:rFonts w:ascii="Cambria Math" w:hAnsi="Cambria Math" w:eastAsia="仿宋_GB2312" w:cs="Cambria Math"/>
                  <w:color w:val="auto"/>
                  <w:sz w:val="24"/>
                  <w:szCs w:val="28"/>
                  <w:highlight w:val="none"/>
                </w:rPr>
              </m:ctrlPr>
            </m:den>
          </m:f>
        </m:oMath>
      </m:oMathPara>
    </w:p>
    <w:p>
      <w:pPr>
        <w:pStyle w:val="2"/>
        <w:ind w:firstLine="231" w:firstLineChars="100"/>
        <w:rPr>
          <w:color w:val="auto"/>
          <w:highlight w:val="none"/>
        </w:rPr>
      </w:pPr>
      <m:oMathPara>
        <m:oMathParaPr>
          <m:jc m:val="center"/>
        </m:oMathParaPr>
        <m:oMath>
          <m:r>
            <m:rPr>
              <m:sty m:val="p"/>
            </m:rPr>
            <w:rPr>
              <w:rFonts w:hint="default" w:ascii="Cambria Math" w:hAnsi="Cambria Math" w:eastAsia="仿宋_GB2312"/>
              <w:color w:val="auto"/>
              <w:sz w:val="24"/>
              <w:szCs w:val="21"/>
              <w:highlight w:val="none"/>
              <w:lang w:val="en-US" w:eastAsia="zh-CN"/>
            </w:rPr>
            <m:t xml:space="preserve">             </m:t>
          </m:r>
        </m:oMath>
      </m:oMathPara>
    </w:p>
    <w:p>
      <w:pPr>
        <w:spacing w:line="586" w:lineRule="exact"/>
        <w:ind w:firstLine="1155" w:firstLineChars="500"/>
        <w:rPr>
          <w:rFonts w:eastAsia="仿宋_GB2312"/>
          <w:color w:val="auto"/>
          <w:sz w:val="24"/>
          <w:szCs w:val="28"/>
          <w:highlight w:val="none"/>
        </w:rPr>
      </w:pPr>
      <m:oMathPara>
        <m:oMathParaPr>
          <m:jc m:val="left"/>
        </m:oMathParaPr>
        <m:oMath>
          <m:r>
            <m:rPr>
              <m:sty m:val="p"/>
            </m:rPr>
            <w:rPr>
              <w:rFonts w:ascii="Cambria Math" w:hAnsi="Cambria Math" w:eastAsia="仿宋_GB2312" w:cs="Cambria Math"/>
              <w:color w:val="auto"/>
              <w:sz w:val="24"/>
              <w:szCs w:val="28"/>
              <w:highlight w:val="none"/>
            </w:rPr>
            <m:t xml:space="preserve">   </m:t>
          </m:r>
          <m:r>
            <m:rPr>
              <m:sty m:val="p"/>
            </m:rPr>
            <w:rPr>
              <w:rFonts w:hint="default" w:ascii="DejaVu Math TeX Gyre" w:hAnsi="DejaVu Math TeX Gyre" w:eastAsia="仿宋_GB2312" w:cs="Cambria Math"/>
              <w:color w:val="auto"/>
              <w:sz w:val="24"/>
              <w:szCs w:val="28"/>
              <w:highlight w:val="none"/>
              <w:lang w:val="en-US" w:eastAsia="zh-CN"/>
            </w:rPr>
            <m:t xml:space="preserve">                     </m:t>
          </m:r>
          <m:r>
            <m:rPr>
              <m:sty m:val="p"/>
            </m:rPr>
            <w:rPr>
              <w:rFonts w:ascii="DejaVu Math TeX Gyre" w:hAnsi="DejaVu Math TeX Gyre" w:eastAsia="仿宋_GB2312" w:cs="Cambria Math"/>
              <w:color w:val="auto"/>
              <w:sz w:val="24"/>
              <w:szCs w:val="28"/>
              <w:highlight w:val="none"/>
            </w:rPr>
            <m:t xml:space="preserve"> </m:t>
          </m:r>
          <m:r>
            <m:rPr>
              <m:sty m:val="p"/>
            </m:rPr>
            <w:rPr>
              <w:rFonts w:hint="default" w:ascii="DejaVu Math TeX Gyre" w:hAnsi="DejaVu Math TeX Gyre" w:eastAsia="仿宋_GB2312" w:cs="Cambria Math"/>
              <w:color w:val="auto"/>
              <w:sz w:val="24"/>
              <w:szCs w:val="28"/>
              <w:highlight w:val="none"/>
              <w:lang w:val="en-US" w:eastAsia="zh-CN"/>
            </w:rPr>
            <m:t xml:space="preserve">            </m:t>
          </m:r>
          <m:r>
            <m:rPr>
              <m:sty m:val="p"/>
            </m:rPr>
            <w:rPr>
              <w:rFonts w:ascii="Cambria Math" w:hAnsi="Cambria Math" w:eastAsia="仿宋_GB2312" w:cs="Cambria Math"/>
              <w:color w:val="auto"/>
              <w:sz w:val="24"/>
              <w:szCs w:val="28"/>
              <w:highlight w:val="none"/>
            </w:rPr>
            <m:t>工作量占比得分=</m:t>
          </m:r>
          <m:f>
            <m:fPr>
              <m:ctrlPr>
                <w:rPr>
                  <w:rFonts w:ascii="Cambria Math" w:hAnsi="Cambria Math" w:eastAsia="仿宋_GB2312" w:cs="Cambria Math"/>
                  <w:color w:val="auto"/>
                  <w:sz w:val="24"/>
                  <w:szCs w:val="28"/>
                  <w:highlight w:val="none"/>
                </w:rPr>
              </m:ctrlPr>
            </m:fPr>
            <m:num>
              <m:r>
                <m:rPr>
                  <m:sty m:val="p"/>
                </m:rPr>
                <w:rPr>
                  <w:rFonts w:ascii="Cambria Math" w:hAnsi="Cambria Math" w:eastAsia="仿宋_GB2312" w:cs="Cambria Math"/>
                  <w:color w:val="auto"/>
                  <w:sz w:val="24"/>
                  <w:szCs w:val="28"/>
                  <w:highlight w:val="none"/>
                </w:rPr>
                <m:t>某县区处置数</m:t>
              </m:r>
              <m:ctrlPr>
                <w:rPr>
                  <w:rFonts w:ascii="Cambria Math" w:hAnsi="Cambria Math" w:eastAsia="仿宋_GB2312" w:cs="Cambria Math"/>
                  <w:color w:val="auto"/>
                  <w:sz w:val="24"/>
                  <w:szCs w:val="28"/>
                  <w:highlight w:val="none"/>
                </w:rPr>
              </m:ctrlPr>
            </m:num>
            <m:den>
              <m:r>
                <m:rPr>
                  <m:sty m:val="p"/>
                </m:rPr>
                <w:rPr>
                  <w:rFonts w:ascii="Cambria Math" w:hAnsi="Cambria Math" w:eastAsia="仿宋_GB2312" w:cs="Cambria Math"/>
                  <w:color w:val="auto"/>
                  <w:sz w:val="24"/>
                  <w:szCs w:val="28"/>
                  <w:highlight w:val="none"/>
                </w:rPr>
                <m:t>两县区应处置数之和</m:t>
              </m:r>
              <m:ctrlPr>
                <w:rPr>
                  <w:rFonts w:ascii="Cambria Math" w:hAnsi="Cambria Math" w:eastAsia="仿宋_GB2312" w:cs="Cambria Math"/>
                  <w:color w:val="auto"/>
                  <w:sz w:val="24"/>
                  <w:szCs w:val="28"/>
                  <w:highlight w:val="none"/>
                </w:rPr>
              </m:ctrlPr>
            </m:den>
          </m:f>
          <m:r>
            <m:rPr>
              <m:sty m:val="p"/>
            </m:rPr>
            <w:rPr>
              <w:rFonts w:ascii="Cambria Math" w:hAnsi="Cambria Math" w:eastAsia="仿宋_GB2312" w:cs="Cambria Math"/>
              <w:color w:val="auto"/>
              <w:sz w:val="24"/>
              <w:szCs w:val="28"/>
              <w:highlight w:val="none"/>
            </w:rPr>
            <m:t>×</m:t>
          </m:r>
          <m:r>
            <m:rPr>
              <m:sty m:val="p"/>
            </m:rPr>
            <w:rPr>
              <w:rFonts w:ascii="Cambria Math" w:hAnsi="Cambria Math" w:eastAsia="仿宋_GB2312" w:cs="Cambria Math"/>
              <w:color w:val="auto"/>
              <w:sz w:val="24"/>
              <w:szCs w:val="32"/>
              <w:highlight w:val="none"/>
            </w:rPr>
            <m:t>2</m:t>
          </m:r>
        </m:oMath>
      </m:oMathPara>
    </w:p>
    <w:p>
      <w:pPr>
        <w:pStyle w:val="2"/>
        <w:rPr>
          <w:color w:val="auto"/>
        </w:rPr>
      </w:pPr>
    </w:p>
    <w:p>
      <w:pPr>
        <w:adjustRightInd/>
        <w:snapToGrid/>
        <w:spacing w:line="240" w:lineRule="auto"/>
        <w:ind w:left="0" w:leftChars="0" w:firstLine="622" w:firstLineChars="200"/>
        <w:rPr>
          <w:rFonts w:eastAsia="方正仿宋_GBK"/>
          <w:szCs w:val="24"/>
        </w:rPr>
      </w:pPr>
      <w:r>
        <w:rPr>
          <w:rFonts w:eastAsia="方正仿宋_GBK"/>
          <w:color w:val="auto"/>
          <w:szCs w:val="24"/>
        </w:rPr>
        <w:t>备注：</w:t>
      </w:r>
      <w:r>
        <w:rPr>
          <w:rFonts w:hint="default" w:eastAsia="方正仿宋_GBK"/>
          <w:color w:val="auto"/>
          <w:szCs w:val="24"/>
          <w:lang w:eastAsia="zh-CN"/>
        </w:rPr>
        <w:t>（</w:t>
      </w:r>
      <w:r>
        <w:rPr>
          <w:rFonts w:hint="default" w:eastAsia="方正仿宋_GBK"/>
          <w:color w:val="auto"/>
          <w:szCs w:val="24"/>
          <w:lang w:val="en-US" w:eastAsia="zh-CN"/>
        </w:rPr>
        <w:t>1）</w:t>
      </w:r>
      <w:r>
        <w:rPr>
          <w:rFonts w:eastAsia="方正仿宋_GBK"/>
          <w:color w:val="auto"/>
          <w:szCs w:val="24"/>
        </w:rPr>
        <w:t>某县区历年应处置数之和为某县区考评周期当年</w:t>
      </w:r>
    </w:p>
    <w:p>
      <w:pPr>
        <w:adjustRightInd/>
        <w:snapToGrid/>
        <w:spacing w:line="240" w:lineRule="auto"/>
        <w:ind w:left="0" w:leftChars="0" w:firstLine="2177" w:firstLineChars="700"/>
        <w:rPr>
          <w:rFonts w:eastAsia="方正仿宋_GBK"/>
          <w:szCs w:val="24"/>
        </w:rPr>
      </w:pPr>
      <w:r>
        <w:rPr>
          <w:rFonts w:eastAsia="方正仿宋_GBK"/>
          <w:color w:val="auto"/>
          <w:szCs w:val="24"/>
        </w:rPr>
        <w:t>的前三年应处置数之和，如现为2023年考评周期，</w:t>
      </w:r>
    </w:p>
    <w:p>
      <w:pPr>
        <w:adjustRightInd/>
        <w:snapToGrid/>
        <w:spacing w:line="240" w:lineRule="auto"/>
        <w:ind w:left="0" w:leftChars="0" w:firstLine="2177" w:firstLineChars="700"/>
        <w:rPr>
          <w:rFonts w:eastAsia="方正仿宋_GBK"/>
          <w:szCs w:val="24"/>
        </w:rPr>
      </w:pPr>
      <w:r>
        <w:rPr>
          <w:rFonts w:eastAsia="方正仿宋_GBK"/>
          <w:color w:val="auto"/>
          <w:szCs w:val="24"/>
        </w:rPr>
        <w:t>某县区历年应处置数之和为2020年、2021年、</w:t>
      </w:r>
    </w:p>
    <w:p>
      <w:pPr>
        <w:adjustRightInd/>
        <w:snapToGrid/>
        <w:spacing w:line="240" w:lineRule="auto"/>
        <w:ind w:left="0" w:leftChars="0" w:firstLine="2177" w:firstLineChars="700"/>
        <w:rPr>
          <w:rFonts w:eastAsia="方正仿宋_GBK"/>
          <w:color w:val="auto"/>
          <w:szCs w:val="24"/>
        </w:rPr>
      </w:pPr>
      <w:r>
        <w:rPr>
          <w:rFonts w:eastAsia="方正仿宋_GBK"/>
          <w:color w:val="auto"/>
          <w:szCs w:val="24"/>
        </w:rPr>
        <w:t>2022年三年的应处置数之和，以此类推。</w:t>
      </w:r>
    </w:p>
    <w:p>
      <w:pPr>
        <w:numPr>
          <w:ilvl w:val="-1"/>
          <w:numId w:val="0"/>
        </w:numPr>
        <w:adjustRightInd/>
        <w:snapToGrid/>
        <w:spacing w:line="240" w:lineRule="auto"/>
        <w:ind w:leftChars="0" w:firstLine="1400" w:firstLineChars="450"/>
        <w:rPr>
          <w:rFonts w:eastAsia="方正仿宋_GBK"/>
          <w:szCs w:val="24"/>
        </w:rPr>
      </w:pPr>
      <w:r>
        <w:rPr>
          <w:rFonts w:hint="default" w:eastAsia="方正仿宋_GBK"/>
          <w:color w:val="auto"/>
          <w:szCs w:val="24"/>
          <w:lang w:val="en-US" w:eastAsia="zh-CN"/>
        </w:rPr>
        <w:t>（2）</w:t>
      </w:r>
      <w:r>
        <w:rPr>
          <w:rFonts w:eastAsia="方正仿宋_GBK"/>
          <w:color w:val="auto"/>
          <w:szCs w:val="24"/>
        </w:rPr>
        <w:t>当工作量变化率</w:t>
      </w:r>
      <w:r>
        <w:rPr>
          <w:rFonts w:hint="default" w:eastAsia="方正仿宋_GBK"/>
          <w:color w:val="auto"/>
          <w:szCs w:val="24"/>
        </w:rPr>
        <w:t>≥</w:t>
      </w:r>
      <w:r>
        <w:rPr>
          <w:rFonts w:eastAsia="方正仿宋_GBK"/>
          <w:color w:val="auto"/>
          <w:szCs w:val="24"/>
        </w:rPr>
        <w:t>30%时，工作量变化率得分为</w:t>
      </w:r>
    </w:p>
    <w:p>
      <w:pPr>
        <w:numPr>
          <w:ilvl w:val="-1"/>
          <w:numId w:val="0"/>
        </w:numPr>
        <w:adjustRightInd/>
        <w:snapToGrid/>
        <w:spacing w:line="240" w:lineRule="auto"/>
        <w:ind w:leftChars="0" w:firstLine="2177" w:firstLineChars="700"/>
        <w:rPr>
          <w:rFonts w:eastAsia="方正仿宋_GBK"/>
          <w:szCs w:val="24"/>
        </w:rPr>
      </w:pPr>
      <w:r>
        <w:rPr>
          <w:rFonts w:eastAsia="方正仿宋_GBK"/>
          <w:color w:val="auto"/>
          <w:szCs w:val="24"/>
        </w:rPr>
        <w:t>0分，当工作量变化率</w:t>
      </w:r>
      <w:r>
        <w:rPr>
          <w:rFonts w:hint="default" w:eastAsia="方正仿宋_GBK"/>
          <w:color w:val="auto"/>
          <w:szCs w:val="24"/>
        </w:rPr>
        <w:t>≤</w:t>
      </w:r>
      <w:r>
        <w:rPr>
          <w:rFonts w:eastAsia="方正仿宋_GBK"/>
          <w:color w:val="auto"/>
          <w:szCs w:val="24"/>
        </w:rPr>
        <w:t>-70%，工作量变化率得分</w:t>
      </w:r>
    </w:p>
    <w:p>
      <w:pPr>
        <w:numPr>
          <w:ilvl w:val="-1"/>
          <w:numId w:val="0"/>
        </w:numPr>
        <w:adjustRightInd/>
        <w:snapToGrid/>
        <w:spacing w:line="240" w:lineRule="auto"/>
        <w:ind w:leftChars="0" w:firstLine="2177" w:firstLineChars="700"/>
        <w:rPr>
          <w:rFonts w:eastAsia="方正仿宋_GBK"/>
          <w:color w:val="auto"/>
          <w:szCs w:val="24"/>
        </w:rPr>
      </w:pPr>
      <w:r>
        <w:rPr>
          <w:rFonts w:eastAsia="方正仿宋_GBK"/>
          <w:color w:val="auto"/>
          <w:szCs w:val="24"/>
        </w:rPr>
        <w:t>为满分2分。</w:t>
      </w:r>
    </w:p>
    <w:p>
      <w:pPr>
        <w:adjustRightInd w:val="0"/>
        <w:snapToGrid w:val="0"/>
        <w:spacing w:line="580" w:lineRule="exact"/>
        <w:ind w:firstLine="624"/>
        <w:rPr>
          <w:rFonts w:eastAsia="仿宋_GB2312"/>
          <w:color w:val="auto"/>
          <w:szCs w:val="32"/>
        </w:rPr>
      </w:pPr>
      <w:r>
        <w:rPr>
          <w:rFonts w:eastAsia="仿宋_GB2312"/>
          <w:color w:val="auto"/>
          <w:szCs w:val="32"/>
        </w:rPr>
        <w:t>5.</w:t>
      </w:r>
      <w:r>
        <w:rPr>
          <w:rFonts w:hint="eastAsia" w:ascii="仿宋" w:hAnsi="仿宋" w:eastAsia="仿宋" w:cs="仿宋"/>
          <w:color w:val="auto"/>
          <w:szCs w:val="32"/>
        </w:rPr>
        <w:t>督办整改率得分</w:t>
      </w:r>
      <w:r>
        <w:rPr>
          <w:rFonts w:eastAsia="仿宋_GB2312"/>
          <w:color w:val="auto"/>
          <w:szCs w:val="32"/>
        </w:rPr>
        <w:t>（2分）</w:t>
      </w:r>
    </w:p>
    <w:p>
      <w:pPr>
        <w:spacing w:line="600" w:lineRule="exact"/>
        <w:ind w:firstLine="622" w:firstLineChars="200"/>
        <w:rPr>
          <w:rFonts w:eastAsia="仿宋_GB2312"/>
          <w:color w:val="auto"/>
          <w:szCs w:val="32"/>
        </w:rPr>
      </w:pPr>
      <w:r>
        <w:rPr>
          <w:rFonts w:eastAsia="仿宋_GB2312"/>
          <w:color w:val="auto"/>
          <w:szCs w:val="32"/>
        </w:rPr>
        <w:t>督办</w:t>
      </w:r>
      <w:r>
        <w:rPr>
          <w:rFonts w:eastAsia="仿宋_GB2312"/>
          <w:color w:val="auto"/>
          <w:kern w:val="0"/>
          <w:szCs w:val="32"/>
        </w:rPr>
        <w:t>整改率</w:t>
      </w:r>
      <w:r>
        <w:rPr>
          <w:rFonts w:eastAsia="仿宋_GB2312"/>
          <w:color w:val="auto"/>
          <w:szCs w:val="32"/>
        </w:rPr>
        <w:t>是指督促某县区对本月数字化城市管理督办问题数进行整改。具体计算公式：</w:t>
      </w:r>
    </w:p>
    <w:p>
      <w:pPr>
        <w:spacing w:line="600" w:lineRule="exact"/>
        <w:ind w:firstLine="462" w:firstLineChars="200"/>
        <w:rPr>
          <w:rFonts w:ascii="Cambria Math" w:hAnsi="Cambria Math" w:eastAsia="仿宋_GB2312" w:cs="Cambria Math"/>
          <w:color w:val="auto"/>
          <w:sz w:val="24"/>
          <w:szCs w:val="28"/>
        </w:rPr>
      </w:pPr>
      <m:oMathPara>
        <m:oMath>
          <m:r>
            <m:rPr>
              <m:sty m:val="p"/>
            </m:rPr>
            <w:rPr>
              <w:rFonts w:ascii="DejaVu Math TeX Gyre" w:hAnsi="DejaVu Math TeX Gyre" w:eastAsia="仿宋_GB2312" w:cs="Cambria Math"/>
              <w:color w:val="auto"/>
              <w:sz w:val="24"/>
              <w:szCs w:val="28"/>
            </w:rPr>
            <m:t>督办整改率得分=</m:t>
          </m:r>
          <m:f>
            <m:fPr>
              <m:ctrlPr>
                <w:rPr>
                  <w:rFonts w:ascii="Cambria Math" w:hAnsi="Cambria Math" w:eastAsia="仿宋_GB2312" w:cs="Cambria Math"/>
                  <w:color w:val="auto"/>
                  <w:sz w:val="24"/>
                  <w:szCs w:val="28"/>
                </w:rPr>
              </m:ctrlPr>
            </m:fPr>
            <m:num>
              <m:r>
                <m:rPr>
                  <m:sty m:val="p"/>
                </m:rPr>
                <w:rPr>
                  <w:rFonts w:ascii="DejaVu Math TeX Gyre" w:hAnsi="DejaVu Math TeX Gyre" w:eastAsia="仿宋_GB2312" w:cs="Cambria Math"/>
                  <w:color w:val="auto"/>
                  <w:sz w:val="24"/>
                  <w:szCs w:val="28"/>
                </w:rPr>
                <m:t>督办处置数</m:t>
              </m:r>
              <m:ctrlPr>
                <w:rPr>
                  <w:rFonts w:ascii="Cambria Math" w:hAnsi="Cambria Math" w:eastAsia="仿宋_GB2312" w:cs="Cambria Math"/>
                  <w:color w:val="auto"/>
                  <w:sz w:val="24"/>
                  <w:szCs w:val="28"/>
                </w:rPr>
              </m:ctrlPr>
            </m:num>
            <m:den>
              <m:r>
                <m:rPr>
                  <m:sty m:val="p"/>
                </m:rPr>
                <w:rPr>
                  <w:rFonts w:ascii="DejaVu Math TeX Gyre" w:hAnsi="DejaVu Math TeX Gyre" w:eastAsia="仿宋_GB2312" w:cs="Cambria Math"/>
                  <w:color w:val="auto"/>
                  <w:sz w:val="24"/>
                  <w:szCs w:val="28"/>
                </w:rPr>
                <m:t>督办问题数</m:t>
              </m:r>
              <m:ctrlPr>
                <w:rPr>
                  <w:rFonts w:ascii="Cambria Math" w:hAnsi="Cambria Math" w:eastAsia="仿宋_GB2312" w:cs="Cambria Math"/>
                  <w:color w:val="auto"/>
                  <w:sz w:val="24"/>
                  <w:szCs w:val="28"/>
                </w:rPr>
              </m:ctrlPr>
            </m:den>
          </m:f>
          <m:r>
            <m:rPr>
              <m:sty m:val="p"/>
            </m:rPr>
            <w:rPr>
              <w:rFonts w:ascii="DejaVu Math TeX Gyre" w:hAnsi="DejaVu Math TeX Gyre" w:eastAsia="仿宋_GB2312" w:cs="Cambria Math"/>
              <w:color w:val="auto"/>
              <w:sz w:val="24"/>
              <w:szCs w:val="28"/>
            </w:rPr>
            <m:t>×</m:t>
          </m:r>
          <m:r>
            <m:rPr>
              <m:sty m:val="p"/>
            </m:rPr>
            <w:rPr>
              <w:rFonts w:ascii="DejaVu Math TeX Gyre" w:hAnsi="DejaVu Math TeX Gyre" w:eastAsia="仿宋_GB2312" w:cs="Cambria Math"/>
              <w:color w:val="auto"/>
              <w:sz w:val="24"/>
              <w:szCs w:val="32"/>
            </w:rPr>
            <m:t>2</m:t>
          </m:r>
        </m:oMath>
      </m:oMathPara>
    </w:p>
    <w:p>
      <w:pPr>
        <w:rPr>
          <w:color w:val="auto"/>
        </w:rPr>
      </w:pPr>
    </w:p>
    <w:p>
      <w:pPr>
        <w:spacing w:line="240" w:lineRule="auto"/>
        <w:ind w:left="0" w:leftChars="0" w:firstLine="622" w:firstLineChars="200"/>
        <w:rPr>
          <w:rFonts w:eastAsia="方正仿宋_GBK"/>
          <w:szCs w:val="24"/>
        </w:rPr>
      </w:pPr>
      <w:r>
        <w:rPr>
          <w:rFonts w:eastAsia="方正仿宋_GBK"/>
          <w:color w:val="auto"/>
          <w:szCs w:val="24"/>
        </w:rPr>
        <w:t>备注：（1）本月督办问题数</w:t>
      </w:r>
      <m:oMath>
        <m:r>
          <m:rPr>
            <m:sty m:val="p"/>
          </m:rPr>
          <w:rPr>
            <w:rFonts w:ascii="DejaVu Math TeX Gyre" w:hAnsi="DejaVu Math TeX Gyre" w:eastAsia="方正仿宋_GBK"/>
            <w:color w:val="auto"/>
            <w:sz w:val="32"/>
            <w:szCs w:val="24"/>
          </w:rPr>
          <m:t>=</m:t>
        </m:r>
      </m:oMath>
      <w:r>
        <w:rPr>
          <w:rFonts w:eastAsia="方正仿宋_GBK"/>
          <w:color w:val="auto"/>
          <w:szCs w:val="24"/>
        </w:rPr>
        <w:t>上月超时未处置+上月督办未处</w:t>
      </w:r>
    </w:p>
    <w:p>
      <w:pPr>
        <w:spacing w:line="240" w:lineRule="auto"/>
        <w:ind w:left="0" w:leftChars="0" w:firstLine="2115" w:firstLineChars="680"/>
        <w:rPr>
          <w:rFonts w:eastAsia="方正仿宋_GBK"/>
          <w:color w:val="auto"/>
          <w:szCs w:val="24"/>
        </w:rPr>
      </w:pPr>
      <w:r>
        <w:rPr>
          <w:rFonts w:eastAsia="方正仿宋_GBK"/>
          <w:color w:val="auto"/>
          <w:szCs w:val="24"/>
        </w:rPr>
        <w:t>置数</w:t>
      </w:r>
    </w:p>
    <w:p>
      <w:pPr>
        <w:spacing w:line="240" w:lineRule="auto"/>
        <w:ind w:firstLine="1400" w:firstLineChars="450"/>
        <w:rPr>
          <w:rFonts w:eastAsia="方正仿宋_GBK"/>
          <w:color w:val="auto"/>
          <w:sz w:val="32"/>
          <w:szCs w:val="24"/>
        </w:rPr>
      </w:pPr>
      <w:r>
        <w:rPr>
          <w:rFonts w:eastAsia="方正仿宋_GBK"/>
          <w:color w:val="auto"/>
          <w:szCs w:val="24"/>
        </w:rPr>
        <w:t>（2）如督办问题数为0时，督办整改率得分为满分。</w:t>
      </w:r>
    </w:p>
    <w:p>
      <w:pPr>
        <w:adjustRightInd w:val="0"/>
        <w:snapToGrid w:val="0"/>
        <w:spacing w:line="580" w:lineRule="exact"/>
        <w:ind w:firstLine="624"/>
        <w:rPr>
          <w:rFonts w:eastAsia="仿宋_GB2312"/>
          <w:color w:val="auto"/>
          <w:szCs w:val="32"/>
        </w:rPr>
      </w:pPr>
      <w:r>
        <w:rPr>
          <w:rFonts w:eastAsia="仿宋_GB2312"/>
          <w:color w:val="auto"/>
          <w:szCs w:val="32"/>
        </w:rPr>
        <w:t>6.</w:t>
      </w:r>
      <w:r>
        <w:rPr>
          <w:rFonts w:hint="eastAsia" w:ascii="仿宋" w:hAnsi="仿宋" w:eastAsia="仿宋" w:cs="仿宋"/>
          <w:color w:val="auto"/>
          <w:szCs w:val="32"/>
        </w:rPr>
        <w:t>挂账整改率得分</w:t>
      </w:r>
      <w:r>
        <w:rPr>
          <w:rFonts w:eastAsia="仿宋_GB2312"/>
          <w:color w:val="auto"/>
          <w:szCs w:val="32"/>
        </w:rPr>
        <w:t>（2分）</w:t>
      </w:r>
    </w:p>
    <w:p>
      <w:pPr>
        <w:pStyle w:val="2"/>
        <w:spacing w:line="586" w:lineRule="exact"/>
        <w:ind w:firstLine="622" w:firstLineChars="200"/>
        <w:rPr>
          <w:color w:val="auto"/>
        </w:rPr>
      </w:pPr>
      <w:r>
        <w:rPr>
          <w:rFonts w:eastAsia="仿宋_GB2312"/>
          <w:color w:val="auto"/>
          <w:sz w:val="32"/>
          <w:szCs w:val="32"/>
        </w:rPr>
        <w:t>挂账整改率是指某县区对申请挂账后的案卷在规定时间内进行整改。具体计算公式：</w:t>
      </w:r>
    </w:p>
    <w:p>
      <w:pPr>
        <w:pStyle w:val="2"/>
        <w:spacing w:line="586" w:lineRule="exact"/>
        <w:ind w:firstLine="462" w:firstLineChars="200"/>
        <w:rPr>
          <w:rFonts w:ascii="Cambria Math" w:hAnsi="Cambria Math" w:eastAsia="仿宋_GB2312" w:cs="Cambria Math"/>
          <w:color w:val="auto"/>
          <w:sz w:val="24"/>
          <w:szCs w:val="28"/>
        </w:rPr>
      </w:pPr>
      <m:oMathPara>
        <m:oMath>
          <m:r>
            <m:rPr>
              <m:sty m:val="p"/>
            </m:rPr>
            <w:rPr>
              <w:rFonts w:ascii="DejaVu Math TeX Gyre" w:hAnsi="DejaVu Math TeX Gyre" w:eastAsia="仿宋_GB2312" w:cs="Cambria Math"/>
              <w:color w:val="auto"/>
              <w:sz w:val="24"/>
              <w:szCs w:val="28"/>
            </w:rPr>
            <m:t>挂账整改率得分=</m:t>
          </m:r>
          <m:f>
            <m:fPr>
              <m:ctrlPr>
                <w:rPr>
                  <w:rFonts w:ascii="Cambria Math" w:hAnsi="Cambria Math" w:eastAsia="仿宋_GB2312" w:cs="Cambria Math"/>
                  <w:color w:val="auto"/>
                  <w:sz w:val="24"/>
                  <w:szCs w:val="28"/>
                </w:rPr>
              </m:ctrlPr>
            </m:fPr>
            <m:num>
              <m:r>
                <m:rPr>
                  <m:sty m:val="p"/>
                </m:rPr>
                <w:rPr>
                  <w:rFonts w:ascii="DejaVu Math TeX Gyre" w:hAnsi="DejaVu Math TeX Gyre" w:eastAsia="仿宋_GB2312" w:cs="Cambria Math"/>
                  <w:color w:val="auto"/>
                  <w:sz w:val="24"/>
                  <w:szCs w:val="28"/>
                </w:rPr>
                <m:t>挂账案卷处置数</m:t>
              </m:r>
              <m:ctrlPr>
                <w:rPr>
                  <w:rFonts w:ascii="Cambria Math" w:hAnsi="Cambria Math" w:eastAsia="仿宋_GB2312" w:cs="Cambria Math"/>
                  <w:color w:val="auto"/>
                  <w:sz w:val="24"/>
                  <w:szCs w:val="28"/>
                </w:rPr>
              </m:ctrlPr>
            </m:num>
            <m:den>
              <m:r>
                <m:rPr>
                  <m:sty m:val="p"/>
                </m:rPr>
                <w:rPr>
                  <w:rFonts w:ascii="DejaVu Math TeX Gyre" w:hAnsi="DejaVu Math TeX Gyre" w:eastAsia="仿宋_GB2312" w:cs="Cambria Math"/>
                  <w:color w:val="auto"/>
                  <w:sz w:val="24"/>
                  <w:szCs w:val="28"/>
                </w:rPr>
                <m:t>挂账案卷数</m:t>
              </m:r>
              <m:ctrlPr>
                <w:rPr>
                  <w:rFonts w:ascii="Cambria Math" w:hAnsi="Cambria Math" w:eastAsia="仿宋_GB2312" w:cs="Cambria Math"/>
                  <w:color w:val="auto"/>
                  <w:sz w:val="24"/>
                  <w:szCs w:val="28"/>
                </w:rPr>
              </m:ctrlPr>
            </m:den>
          </m:f>
          <m:r>
            <m:rPr>
              <m:sty m:val="p"/>
            </m:rPr>
            <w:rPr>
              <w:rFonts w:ascii="DejaVu Math TeX Gyre" w:hAnsi="DejaVu Math TeX Gyre" w:eastAsia="仿宋_GB2312" w:cs="Cambria Math"/>
              <w:color w:val="auto"/>
              <w:sz w:val="24"/>
              <w:szCs w:val="28"/>
            </w:rPr>
            <m:t>×</m:t>
          </m:r>
          <m:r>
            <m:rPr>
              <m:sty m:val="p"/>
            </m:rPr>
            <w:rPr>
              <w:rFonts w:ascii="DejaVu Math TeX Gyre" w:hAnsi="DejaVu Math TeX Gyre" w:eastAsia="仿宋_GB2312" w:cs="Cambria Math"/>
              <w:color w:val="auto"/>
              <w:sz w:val="24"/>
              <w:szCs w:val="32"/>
            </w:rPr>
            <m:t>2</m:t>
          </m:r>
        </m:oMath>
      </m:oMathPara>
    </w:p>
    <w:p>
      <w:pPr>
        <w:rPr>
          <w:color w:val="auto"/>
        </w:rPr>
      </w:pPr>
    </w:p>
    <w:p>
      <w:pPr>
        <w:spacing w:line="240" w:lineRule="auto"/>
        <w:ind w:firstLine="622" w:firstLineChars="200"/>
        <w:rPr>
          <w:rFonts w:eastAsia="方正仿宋_GBK"/>
          <w:color w:val="auto"/>
          <w:szCs w:val="24"/>
        </w:rPr>
      </w:pPr>
      <w:r>
        <w:rPr>
          <w:rFonts w:eastAsia="方正仿宋_GBK"/>
          <w:color w:val="auto"/>
          <w:szCs w:val="24"/>
        </w:rPr>
        <w:t>备注：当挂账案卷数为0时，挂账整改率得分为满分。</w:t>
      </w:r>
    </w:p>
    <w:p>
      <w:pPr>
        <w:spacing w:line="586" w:lineRule="exact"/>
        <w:ind w:firstLine="622" w:firstLineChars="200"/>
        <w:rPr>
          <w:rFonts w:eastAsia="仿宋_GB2312"/>
          <w:color w:val="auto"/>
          <w:szCs w:val="32"/>
        </w:rPr>
      </w:pPr>
      <w:r>
        <w:rPr>
          <w:rFonts w:eastAsia="仿宋_GB2312"/>
          <w:color w:val="auto"/>
          <w:szCs w:val="32"/>
        </w:rPr>
        <w:t>7.</w:t>
      </w:r>
      <w:r>
        <w:rPr>
          <w:rFonts w:hint="eastAsia" w:ascii="仿宋" w:hAnsi="仿宋" w:eastAsia="仿宋" w:cs="仿宋"/>
          <w:color w:val="auto"/>
          <w:szCs w:val="32"/>
        </w:rPr>
        <w:t>月度加分项目</w:t>
      </w:r>
    </w:p>
    <w:p>
      <w:pPr>
        <w:spacing w:line="586" w:lineRule="exact"/>
        <w:ind w:firstLine="622" w:firstLineChars="200"/>
        <w:rPr>
          <w:rFonts w:eastAsia="仿宋_GB2312"/>
          <w:color w:val="auto"/>
          <w:szCs w:val="32"/>
        </w:rPr>
      </w:pPr>
      <w:r>
        <w:rPr>
          <w:rFonts w:eastAsia="仿宋_GB2312"/>
          <w:color w:val="auto"/>
          <w:szCs w:val="32"/>
        </w:rPr>
        <w:t>考评单位对于职责交叉、管理存在空白、义务处理职责外或历史遗留重点难点等案卷主动处置的（对于新出现职责交叉、管理存在空白的案卷，处置单位需上传相关依据），每件加0.0</w:t>
      </w:r>
      <w:r>
        <w:rPr>
          <w:rFonts w:hint="eastAsia" w:eastAsia="仿宋_GB2312"/>
          <w:color w:val="auto"/>
          <w:szCs w:val="32"/>
          <w:lang w:val="en-US" w:eastAsia="zh-CN"/>
        </w:rPr>
        <w:t>2</w:t>
      </w:r>
      <w:r>
        <w:rPr>
          <w:rFonts w:eastAsia="仿宋_GB2312"/>
          <w:color w:val="auto"/>
          <w:szCs w:val="32"/>
        </w:rPr>
        <w:t>分，每月加分上限0.</w:t>
      </w:r>
      <w:r>
        <w:rPr>
          <w:rFonts w:hint="eastAsia" w:eastAsia="仿宋_GB2312"/>
          <w:color w:val="auto"/>
          <w:szCs w:val="32"/>
          <w:lang w:val="en-US" w:eastAsia="zh-CN"/>
        </w:rPr>
        <w:t>3</w:t>
      </w:r>
      <w:r>
        <w:rPr>
          <w:rFonts w:eastAsia="仿宋_GB2312"/>
          <w:color w:val="auto"/>
          <w:szCs w:val="32"/>
        </w:rPr>
        <w:t>分；当月26日数字化平台系统出月报数据时，有处置加分案卷的县区需自行整理加分项，汇总后向市城市管理领导小组办公室提交加分说明。</w:t>
      </w:r>
    </w:p>
    <w:p>
      <w:pPr>
        <w:adjustRightInd w:val="0"/>
        <w:snapToGrid w:val="0"/>
        <w:spacing w:line="580" w:lineRule="exact"/>
        <w:ind w:firstLine="624"/>
        <w:rPr>
          <w:rFonts w:eastAsia="仿宋_GB2312"/>
          <w:color w:val="auto"/>
          <w:szCs w:val="32"/>
        </w:rPr>
      </w:pPr>
      <w:r>
        <w:rPr>
          <w:rFonts w:eastAsia="仿宋_GB2312"/>
          <w:color w:val="auto"/>
          <w:szCs w:val="32"/>
        </w:rPr>
        <w:t>8.</w:t>
      </w:r>
      <w:r>
        <w:rPr>
          <w:rFonts w:hint="eastAsia" w:ascii="仿宋" w:hAnsi="仿宋" w:eastAsia="仿宋" w:cs="仿宋"/>
          <w:color w:val="auto"/>
          <w:szCs w:val="32"/>
        </w:rPr>
        <w:t>月度扣分项目</w:t>
      </w:r>
    </w:p>
    <w:p>
      <w:pPr>
        <w:adjustRightInd w:val="0"/>
        <w:snapToGrid w:val="0"/>
        <w:spacing w:line="600" w:lineRule="exact"/>
        <w:ind w:firstLine="622" w:firstLineChars="200"/>
        <w:rPr>
          <w:rFonts w:eastAsia="仿宋_GB2312"/>
          <w:color w:val="auto"/>
          <w:spacing w:val="-11"/>
          <w:sz w:val="32"/>
          <w:szCs w:val="32"/>
        </w:rPr>
      </w:pPr>
      <w:r>
        <w:rPr>
          <w:rFonts w:eastAsia="仿宋_GB2312"/>
          <w:color w:val="auto"/>
          <w:szCs w:val="32"/>
        </w:rPr>
        <w:t>（1）</w:t>
      </w:r>
      <w:r>
        <w:rPr>
          <w:rFonts w:eastAsia="仿宋_GB2312"/>
          <w:color w:val="auto"/>
          <w:spacing w:val="-11"/>
          <w:sz w:val="32"/>
          <w:szCs w:val="32"/>
        </w:rPr>
        <w:t>拒绝接收市城市管理信息中心案件的，每次（件）扣0.01分。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（2）不按照市城市管理信息中心督办或</w:t>
      </w:r>
      <w:r>
        <w:rPr>
          <w:rFonts w:hint="eastAsia" w:eastAsia="仿宋_GB2312"/>
          <w:color w:val="auto"/>
          <w:szCs w:val="32"/>
        </w:rPr>
        <w:t>者</w:t>
      </w:r>
      <w:r>
        <w:rPr>
          <w:rFonts w:eastAsia="仿宋_GB2312"/>
          <w:color w:val="auto"/>
          <w:szCs w:val="32"/>
        </w:rPr>
        <w:t>指定处置要求进行处置的，每次（件）扣0.01分。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（3）处置单位未经现场勘察核实或未提供有效证明而直接驳回案件的，经市城市管理信息中心核实情况属实的，每次（件）扣0.01分。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（4）不按照要求规范回复办理意见，经市城市管理信息中心指出，当月</w:t>
      </w:r>
      <w:r>
        <w:rPr>
          <w:rFonts w:hint="eastAsia" w:eastAsia="仿宋_GB2312"/>
          <w:color w:val="auto"/>
          <w:szCs w:val="32"/>
        </w:rPr>
        <w:t>以</w:t>
      </w:r>
      <w:r>
        <w:rPr>
          <w:rFonts w:eastAsia="仿宋_GB2312"/>
          <w:color w:val="auto"/>
          <w:szCs w:val="32"/>
        </w:rPr>
        <w:t>及之后再次出现不规范回复的，每次（件）扣0.01分。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（5）如遇井盖缺失、燃气</w:t>
      </w:r>
      <w:r>
        <w:rPr>
          <w:rFonts w:hint="eastAsia" w:eastAsia="仿宋_GB2312"/>
          <w:color w:val="auto"/>
          <w:szCs w:val="32"/>
        </w:rPr>
        <w:t>事故</w:t>
      </w:r>
      <w:r>
        <w:rPr>
          <w:rFonts w:eastAsia="仿宋_GB2312"/>
          <w:color w:val="auto"/>
          <w:szCs w:val="32"/>
        </w:rPr>
        <w:t>、设施伤人、施工伤人、道路塌陷、架空线缆下坠、行道树倾倒等紧急事件时，相关责任单位未根据《数字化城市管理信息系统第8部分：立案、处置和结案》（GB/T30428.8</w:t>
      </w:r>
      <w:r>
        <w:rPr>
          <w:rFonts w:hint="eastAsia" w:eastAsia="仿宋_GB2312"/>
          <w:color w:val="auto"/>
          <w:szCs w:val="32"/>
          <w:lang w:eastAsia="zh-CN"/>
        </w:rPr>
        <w:t>—</w:t>
      </w:r>
      <w:r>
        <w:rPr>
          <w:rFonts w:eastAsia="仿宋_GB2312"/>
          <w:color w:val="auto"/>
          <w:szCs w:val="32"/>
        </w:rPr>
        <w:t>2020）中各小类紧急工作时进行围护、修复，每次扣0.05分。</w:t>
      </w:r>
    </w:p>
    <w:p>
      <w:pPr>
        <w:adjustRightInd w:val="0"/>
        <w:snapToGrid w:val="0"/>
        <w:spacing w:line="600" w:lineRule="exact"/>
        <w:ind w:firstLine="622" w:firstLineChars="200"/>
        <w:rPr>
          <w:rFonts w:eastAsia="仿宋_GB2312"/>
          <w:color w:val="auto"/>
          <w:spacing w:val="-11"/>
          <w:sz w:val="32"/>
          <w:szCs w:val="32"/>
        </w:rPr>
      </w:pPr>
      <w:r>
        <w:rPr>
          <w:rFonts w:eastAsia="仿宋_GB2312"/>
          <w:color w:val="auto"/>
          <w:szCs w:val="32"/>
        </w:rPr>
        <w:t>（6）</w:t>
      </w:r>
      <w:r>
        <w:rPr>
          <w:rFonts w:eastAsia="仿宋_GB2312"/>
          <w:color w:val="auto"/>
          <w:spacing w:val="-11"/>
          <w:sz w:val="32"/>
          <w:szCs w:val="32"/>
        </w:rPr>
        <w:t>无故不参加城市管理各类协调会的，每人（次）扣0.01分。</w:t>
      </w:r>
    </w:p>
    <w:p>
      <w:pPr>
        <w:adjustRightInd w:val="0"/>
        <w:snapToGrid w:val="0"/>
        <w:spacing w:line="580" w:lineRule="exact"/>
        <w:ind w:firstLine="624"/>
        <w:rPr>
          <w:rFonts w:eastAsia="仿宋_GB2312"/>
          <w:color w:val="auto"/>
          <w:szCs w:val="32"/>
        </w:rPr>
      </w:pPr>
      <w:r>
        <w:rPr>
          <w:rFonts w:hint="eastAsia" w:eastAsia="仿宋_GB2312"/>
          <w:color w:val="auto"/>
          <w:szCs w:val="32"/>
          <w:lang w:val="en-US" w:eastAsia="zh-CN"/>
        </w:rPr>
        <w:t>9</w:t>
      </w:r>
      <w:r>
        <w:rPr>
          <w:rFonts w:eastAsia="仿宋_GB2312"/>
          <w:color w:val="auto"/>
          <w:szCs w:val="32"/>
        </w:rPr>
        <w:t>.</w:t>
      </w:r>
      <w:r>
        <w:rPr>
          <w:rFonts w:hint="eastAsia" w:ascii="仿宋" w:hAnsi="仿宋" w:eastAsia="仿宋" w:cs="仿宋"/>
          <w:color w:val="auto"/>
          <w:szCs w:val="32"/>
        </w:rPr>
        <w:t>指标说明</w:t>
      </w:r>
    </w:p>
    <w:p>
      <w:pPr>
        <w:adjustRightInd w:val="0"/>
        <w:snapToGrid w:val="0"/>
        <w:spacing w:line="600" w:lineRule="exact"/>
        <w:ind w:firstLine="622" w:firstLineChars="200"/>
        <w:rPr>
          <w:rFonts w:eastAsia="仿宋_GB2312"/>
          <w:color w:val="auto"/>
          <w:szCs w:val="32"/>
        </w:rPr>
      </w:pPr>
      <w:r>
        <w:rPr>
          <w:rFonts w:eastAsia="仿宋_GB2312"/>
          <w:color w:val="auto"/>
          <w:szCs w:val="32"/>
        </w:rPr>
        <w:t>（1）应处置数：立案数中，责任单位按照处置规则应该完成处置的案件数。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（2）处置数：立案数中，责任单位按照处置规则已经完成处置的案件数，该值等于同期的按时处置数和超时处置数之和。</w:t>
      </w:r>
    </w:p>
    <w:p>
      <w:pPr>
        <w:adjustRightInd w:val="0"/>
        <w:snapToGrid w:val="0"/>
        <w:spacing w:line="600" w:lineRule="exact"/>
        <w:ind w:firstLine="622" w:firstLineChars="200"/>
        <w:rPr>
          <w:rFonts w:eastAsia="仿宋_GB2312"/>
          <w:color w:val="auto"/>
          <w:szCs w:val="32"/>
        </w:rPr>
      </w:pPr>
      <w:r>
        <w:rPr>
          <w:rFonts w:eastAsia="仿宋_GB2312"/>
          <w:color w:val="auto"/>
          <w:szCs w:val="32"/>
        </w:rPr>
        <w:t>（3）按时处置数：应处置数中，责任单位按照处置规则，在处置时限内已完成处置的案件数。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（4）超时处置数：应处置数中，责任单位按照处置规则，未在处置时限内完成处置的案件数。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5）延期数：责任单位按照处置规则，在处置时限内无法完成处置需申请延期（处置时限在30工作日以内的可申请延期，最多能延期3次）处置的案件数，且延期时限超过5个工作日的需向市城市管理领导小组办公室提交延期申请。</w:t>
      </w:r>
    </w:p>
    <w:p>
      <w:pPr>
        <w:pStyle w:val="2"/>
        <w:spacing w:line="586" w:lineRule="exact"/>
        <w:ind w:firstLine="622" w:firstLineChars="200"/>
        <w:rPr>
          <w:rFonts w:eastAsia="仿宋_GB2312"/>
          <w:color w:val="auto"/>
          <w:sz w:val="32"/>
          <w:szCs w:val="32"/>
        </w:rPr>
      </w:pPr>
      <w:r>
        <w:rPr>
          <w:rFonts w:eastAsia="仿宋_GB2312"/>
          <w:color w:val="auto"/>
          <w:sz w:val="32"/>
          <w:szCs w:val="32"/>
        </w:rPr>
        <w:t>（6）返工数：因未符合结案标准而发回责任单位重新处置的案件，返工数以返工次数计分。</w:t>
      </w:r>
    </w:p>
    <w:p>
      <w:pPr>
        <w:spacing w:line="586" w:lineRule="exact"/>
        <w:ind w:firstLine="622" w:firstLineChars="200"/>
        <w:rPr>
          <w:rFonts w:eastAsia="仿宋_GB2312"/>
          <w:color w:val="auto"/>
          <w:szCs w:val="32"/>
        </w:rPr>
      </w:pPr>
      <w:r>
        <w:rPr>
          <w:rFonts w:eastAsia="仿宋_GB2312"/>
          <w:color w:val="auto"/>
          <w:szCs w:val="32"/>
        </w:rPr>
        <w:t>（7）督办处置数：是指每月6日零点前对上月未处置案卷及上月督办未处置案卷之和整改完毕的案卷数。</w:t>
      </w:r>
    </w:p>
    <w:p>
      <w:pPr>
        <w:spacing w:line="600" w:lineRule="exact"/>
        <w:ind w:firstLine="622" w:firstLineChars="200"/>
        <w:rPr>
          <w:rFonts w:eastAsia="仿宋_GB2312"/>
          <w:color w:val="auto"/>
          <w:szCs w:val="32"/>
        </w:rPr>
      </w:pPr>
      <w:r>
        <w:rPr>
          <w:rFonts w:eastAsia="仿宋_GB2312"/>
          <w:color w:val="auto"/>
          <w:szCs w:val="32"/>
        </w:rPr>
        <w:t>（8）督办未处置数：是指每月6日零点前对上月未处置案卷及上月督办未处置案卷之和仍未整改完毕的案卷数。</w:t>
      </w:r>
    </w:p>
    <w:p>
      <w:pPr>
        <w:adjustRightInd w:val="0"/>
        <w:snapToGrid w:val="0"/>
        <w:spacing w:line="586" w:lineRule="exact"/>
        <w:ind w:firstLine="622" w:firstLineChars="200"/>
        <w:rPr>
          <w:rFonts w:eastAsia="仿宋_GB2312"/>
          <w:color w:val="auto"/>
          <w:szCs w:val="32"/>
        </w:rPr>
      </w:pPr>
      <w:r>
        <w:rPr>
          <w:rFonts w:eastAsia="仿宋_GB2312"/>
          <w:color w:val="auto"/>
          <w:szCs w:val="32"/>
        </w:rPr>
        <w:t>（9）挂账案卷：指需要较长时间（90工作日以上）查清并处置的复杂、特殊案件，案件申请挂账时需在系统上操作申请并向市城市管理领导小组办公室提交申请说明进行审批。</w:t>
      </w:r>
    </w:p>
    <w:p>
      <w:pPr>
        <w:adjustRightInd w:val="0"/>
        <w:snapToGrid w:val="0"/>
        <w:spacing w:line="586" w:lineRule="exact"/>
        <w:ind w:firstLine="622" w:firstLineChars="200"/>
        <w:rPr>
          <w:rFonts w:eastAsia="仿宋_GB2312"/>
          <w:color w:val="auto"/>
          <w:szCs w:val="32"/>
        </w:rPr>
      </w:pPr>
      <w:r>
        <w:rPr>
          <w:rFonts w:eastAsia="仿宋_GB2312"/>
          <w:color w:val="auto"/>
          <w:szCs w:val="32"/>
        </w:rPr>
        <w:t>（10）挂账案卷数：应处置数中，需要较长时间（90工作日以上）查清并处置的复杂案件和特殊案件数，申请挂账案卷需向市城市管理领导小组办公室提交申请说明进行审批。</w:t>
      </w:r>
    </w:p>
    <w:p>
      <w:pPr>
        <w:pStyle w:val="2"/>
        <w:spacing w:line="586" w:lineRule="exact"/>
        <w:ind w:firstLine="622" w:firstLineChars="200"/>
        <w:rPr>
          <w:rFonts w:eastAsia="仿宋_GB2312"/>
          <w:color w:val="auto"/>
          <w:sz w:val="32"/>
          <w:szCs w:val="32"/>
        </w:rPr>
      </w:pPr>
      <w:r>
        <w:rPr>
          <w:rFonts w:eastAsia="仿宋_GB2312"/>
          <w:color w:val="auto"/>
          <w:sz w:val="32"/>
          <w:szCs w:val="32"/>
        </w:rPr>
        <w:t>（11）挂账案卷处置数：是指案卷申请挂账后在规定的时限内整改完毕的案卷数。</w:t>
      </w:r>
    </w:p>
    <w:p>
      <w:pPr>
        <w:pStyle w:val="2"/>
        <w:spacing w:line="586" w:lineRule="exact"/>
        <w:ind w:firstLine="622" w:firstLineChars="200"/>
        <w:rPr>
          <w:rFonts w:eastAsia="仿宋_GB2312"/>
          <w:color w:val="auto"/>
          <w:sz w:val="32"/>
          <w:szCs w:val="32"/>
        </w:rPr>
      </w:pPr>
      <w:r>
        <w:rPr>
          <w:rFonts w:eastAsia="仿宋_GB2312"/>
          <w:color w:val="auto"/>
          <w:sz w:val="32"/>
          <w:szCs w:val="32"/>
        </w:rPr>
        <w:t>（12）挂账案卷未处置数：是指案卷申请挂账后未在规定时限内整改完毕的案卷数。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（13）一次完成处置数：应处置数中，责任单位按照处置规则，在处置时限内按时完成且未延期、未返工的案件数。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（14）高发小类发生数：选取各县区每月处置案卷中高发前五的案卷小类总和。</w:t>
      </w:r>
    </w:p>
    <w:p>
      <w:pPr>
        <w:pStyle w:val="2"/>
        <w:spacing w:line="586" w:lineRule="exact"/>
        <w:ind w:firstLine="622" w:firstLineChars="200"/>
        <w:rPr>
          <w:rFonts w:eastAsia="仿宋_GB2312"/>
          <w:color w:val="auto"/>
          <w:sz w:val="32"/>
          <w:szCs w:val="32"/>
        </w:rPr>
      </w:pPr>
      <w:r>
        <w:rPr>
          <w:rFonts w:eastAsia="仿宋_GB2312"/>
          <w:color w:val="auto"/>
          <w:sz w:val="32"/>
          <w:szCs w:val="32"/>
        </w:rPr>
        <w:t>（15）高发小类波动数：高发前五小类发生数中某一小类案卷数与高发前五小类案卷平均数的差值，当差值越大时说明某一高发小类问题越突出。</w:t>
      </w:r>
    </w:p>
    <w:p>
      <w:pPr>
        <w:adjustRightInd w:val="0"/>
        <w:snapToGrid w:val="0"/>
        <w:spacing w:line="600" w:lineRule="exact"/>
        <w:ind w:firstLine="622" w:firstLineChars="200"/>
        <w:rPr>
          <w:rFonts w:eastAsia="仿宋_GB2312"/>
          <w:color w:val="auto"/>
          <w:szCs w:val="32"/>
        </w:rPr>
      </w:pPr>
      <w:r>
        <w:rPr>
          <w:rFonts w:eastAsia="仿宋_GB2312"/>
          <w:color w:val="auto"/>
          <w:szCs w:val="32"/>
        </w:rPr>
        <w:t>（16）拒绝接收城市管理案件：一是指对于责任已经明确的城市管理案件，责任单位无正当理由拒绝接收或长期不接收的；二是指对于责任不够明确的城市管理案件，经市城市管理信息中心协调确认后，责任单位仍无故拒绝接收案件的。</w:t>
      </w:r>
    </w:p>
    <w:p>
      <w:pPr>
        <w:adjustRightInd w:val="0"/>
        <w:snapToGrid w:val="0"/>
        <w:spacing w:line="600" w:lineRule="exact"/>
        <w:ind w:firstLine="622" w:firstLineChars="200"/>
        <w:rPr>
          <w:rFonts w:eastAsia="仿宋_GB2312"/>
          <w:color w:val="auto"/>
          <w:szCs w:val="32"/>
        </w:rPr>
      </w:pPr>
      <w:r>
        <w:rPr>
          <w:rFonts w:eastAsia="仿宋_GB2312"/>
          <w:color w:val="auto"/>
          <w:szCs w:val="32"/>
        </w:rPr>
        <w:t>（17）不按照市城市管理信息中心督办或</w:t>
      </w:r>
      <w:r>
        <w:rPr>
          <w:rFonts w:hint="eastAsia" w:eastAsia="仿宋_GB2312"/>
          <w:color w:val="auto"/>
          <w:szCs w:val="32"/>
        </w:rPr>
        <w:t>者</w:t>
      </w:r>
      <w:r>
        <w:rPr>
          <w:rFonts w:eastAsia="仿宋_GB2312"/>
          <w:color w:val="auto"/>
          <w:szCs w:val="32"/>
        </w:rPr>
        <w:t>指定处置要求进行处置：指责任单位对于市城市管理信息中心督办或</w:t>
      </w:r>
      <w:r>
        <w:rPr>
          <w:rFonts w:hint="eastAsia" w:eastAsia="仿宋_GB2312"/>
          <w:color w:val="auto"/>
          <w:szCs w:val="32"/>
        </w:rPr>
        <w:t>者</w:t>
      </w:r>
      <w:r>
        <w:rPr>
          <w:rFonts w:eastAsia="仿宋_GB2312"/>
          <w:color w:val="auto"/>
          <w:szCs w:val="32"/>
        </w:rPr>
        <w:t>指定处置的案卷未按照要求进行处置的行为，包括处置超期、处置结果未达标准或未如实反馈、未按期反馈处置信息等。</w:t>
      </w:r>
    </w:p>
    <w:p>
      <w:pPr>
        <w:adjustRightInd w:val="0"/>
        <w:snapToGrid w:val="0"/>
        <w:spacing w:line="600" w:lineRule="exact"/>
        <w:ind w:firstLine="622" w:firstLineChars="200"/>
        <w:jc w:val="left"/>
        <w:rPr>
          <w:rFonts w:eastAsia="仿宋_GB2312"/>
          <w:color w:val="auto"/>
          <w:szCs w:val="32"/>
        </w:rPr>
      </w:pPr>
      <w:r>
        <w:rPr>
          <w:rFonts w:eastAsia="仿宋_GB2312"/>
          <w:color w:val="auto"/>
          <w:szCs w:val="32"/>
        </w:rPr>
        <w:t>（18）不参加城市管理各类协调会：指责任单位未按照相关要求派指定人员参加会议，或未按时参加甚至无故不参加会议的行为。</w:t>
      </w:r>
    </w:p>
    <w:p>
      <w:pPr>
        <w:numPr>
          <w:ilvl w:val="0"/>
          <w:numId w:val="0"/>
        </w:numPr>
        <w:adjustRightInd w:val="0"/>
        <w:snapToGrid w:val="0"/>
        <w:spacing w:line="600" w:lineRule="exact"/>
        <w:ind w:left="720"/>
        <w:jc w:val="left"/>
        <w:outlineLvl w:val="2"/>
        <w:rPr>
          <w:rFonts w:hint="eastAsia" w:eastAsia="方正楷体_GB2312" w:cs="方正仿宋_GB2312"/>
          <w:color w:val="auto"/>
          <w:szCs w:val="32"/>
        </w:rPr>
      </w:pPr>
      <w:r>
        <w:rPr>
          <w:rFonts w:hint="eastAsia" w:ascii="楷体" w:hAnsi="楷体" w:eastAsia="楷体" w:cs="楷体"/>
          <w:color w:val="auto"/>
          <w:szCs w:val="32"/>
        </w:rPr>
        <w:t>（</w:t>
      </w:r>
      <w:r>
        <w:rPr>
          <w:rFonts w:hint="eastAsia" w:ascii="楷体" w:hAnsi="楷体" w:eastAsia="楷体" w:cs="楷体"/>
          <w:color w:val="auto"/>
          <w:szCs w:val="32"/>
          <w:lang w:val="en-US" w:eastAsia="zh-CN"/>
        </w:rPr>
        <w:t>二</w:t>
      </w:r>
      <w:r>
        <w:rPr>
          <w:rFonts w:hint="eastAsia" w:ascii="楷体" w:hAnsi="楷体" w:eastAsia="楷体" w:cs="楷体"/>
          <w:color w:val="auto"/>
          <w:szCs w:val="32"/>
        </w:rPr>
        <w:t>）控违拆违考评</w:t>
      </w:r>
      <w:r>
        <w:rPr>
          <w:rFonts w:hint="default" w:eastAsia="楷体"/>
          <w:color w:val="auto"/>
          <w:szCs w:val="32"/>
        </w:rPr>
        <w:t>12</w:t>
      </w:r>
      <w:r>
        <w:rPr>
          <w:rFonts w:hint="eastAsia" w:ascii="楷体" w:hAnsi="楷体" w:eastAsia="楷体" w:cs="楷体"/>
          <w:color w:val="auto"/>
          <w:szCs w:val="32"/>
        </w:rPr>
        <w:t>分</w:t>
      </w:r>
    </w:p>
    <w:p>
      <w:pPr>
        <w:adjustRightInd w:val="0"/>
        <w:snapToGrid w:val="0"/>
        <w:spacing w:line="600" w:lineRule="exact"/>
        <w:ind w:firstLine="622" w:firstLineChars="200"/>
        <w:rPr>
          <w:rFonts w:eastAsia="仿宋_GB2312"/>
          <w:color w:val="auto"/>
          <w:szCs w:val="32"/>
        </w:rPr>
      </w:pPr>
      <w:r>
        <w:rPr>
          <w:rFonts w:hint="eastAsia" w:eastAsia="仿宋_GB2312"/>
          <w:color w:val="auto"/>
          <w:szCs w:val="32"/>
          <w:lang w:val="en-US" w:eastAsia="zh-CN"/>
        </w:rPr>
        <w:t>1.</w:t>
      </w:r>
      <w:r>
        <w:rPr>
          <w:rFonts w:eastAsia="仿宋_GB2312"/>
          <w:color w:val="auto"/>
          <w:szCs w:val="32"/>
        </w:rPr>
        <w:t>控违考评（4分）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控违考评包括严控新增两违建设考评；执行政府强拆令处置违法建设考评；妥善办理各类两违投诉案件考评；网格化管理巡查制度落实考评。</w:t>
      </w:r>
    </w:p>
    <w:p>
      <w:pPr>
        <w:numPr>
          <w:ilvl w:val="0"/>
          <w:numId w:val="0"/>
        </w:numPr>
        <w:adjustRightInd w:val="0"/>
        <w:snapToGrid w:val="0"/>
        <w:spacing w:line="600" w:lineRule="exact"/>
        <w:ind w:firstLine="622" w:firstLineChars="200"/>
        <w:rPr>
          <w:rFonts w:eastAsia="仿宋_GB2312"/>
          <w:color w:val="auto"/>
          <w:szCs w:val="32"/>
        </w:rPr>
      </w:pPr>
      <w:r>
        <w:rPr>
          <w:rFonts w:hint="eastAsia" w:eastAsia="仿宋_GB2312"/>
          <w:color w:val="auto"/>
          <w:szCs w:val="32"/>
          <w:lang w:val="en-US" w:eastAsia="zh-CN"/>
        </w:rPr>
        <w:t>2.</w:t>
      </w:r>
      <w:r>
        <w:rPr>
          <w:rFonts w:eastAsia="仿宋_GB2312"/>
          <w:color w:val="auto"/>
          <w:szCs w:val="32"/>
        </w:rPr>
        <w:t>台账得分（2分）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台账报送及领导交办的临时拆控违任务完成情况考评。</w:t>
      </w:r>
    </w:p>
    <w:p>
      <w:pPr>
        <w:adjustRightInd w:val="0"/>
        <w:snapToGrid w:val="0"/>
        <w:spacing w:line="600" w:lineRule="exact"/>
        <w:ind w:firstLine="622" w:firstLineChars="200"/>
        <w:rPr>
          <w:rFonts w:eastAsia="仿宋_GB2312"/>
          <w:color w:val="auto"/>
          <w:szCs w:val="32"/>
        </w:rPr>
      </w:pPr>
      <w:r>
        <w:rPr>
          <w:rFonts w:eastAsia="仿宋_GB2312"/>
          <w:color w:val="auto"/>
          <w:szCs w:val="32"/>
        </w:rPr>
        <w:t>台账报送要求：</w:t>
      </w:r>
    </w:p>
    <w:p>
      <w:pPr>
        <w:adjustRightInd w:val="0"/>
        <w:snapToGrid w:val="0"/>
        <w:spacing w:line="600" w:lineRule="exact"/>
        <w:ind w:firstLine="622" w:firstLineChars="200"/>
        <w:rPr>
          <w:rFonts w:eastAsia="仿宋_GB2312"/>
          <w:color w:val="auto"/>
          <w:szCs w:val="32"/>
        </w:rPr>
      </w:pPr>
      <w:r>
        <w:rPr>
          <w:rFonts w:eastAsia="仿宋_GB2312"/>
          <w:color w:val="auto"/>
          <w:szCs w:val="32"/>
        </w:rPr>
        <w:t>（1）县区组织的每一次拆违行动，必须在拆违行动的前3天将拆违行动的具体方案（计划）报送市城市管理领导小组办公室备案，时间紧急可电话告知相关工作人员，市城市管理领导小组办公室视情况派人全程参与监督核查拆违面积，不按要求提前报送行动方案（计划）的实施扣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2）每月25日下午下班前，各县区要按时向市城市管理领导小组办公室报送当月完成两违清理整治任务完成情况，拆除违法建设统计表及下月工作计划（如遇25日为双休日、节假日应提前报送），当月数据按上月26日至当月25日计算。</w:t>
      </w:r>
    </w:p>
    <w:p>
      <w:pPr>
        <w:adjustRightInd w:val="0"/>
        <w:snapToGrid w:val="0"/>
        <w:spacing w:line="600" w:lineRule="exact"/>
        <w:ind w:firstLine="622" w:firstLineChars="200"/>
        <w:rPr>
          <w:rFonts w:eastAsia="仿宋_GB2312"/>
          <w:color w:val="auto"/>
          <w:szCs w:val="32"/>
        </w:rPr>
      </w:pPr>
      <w:r>
        <w:rPr>
          <w:rFonts w:eastAsia="仿宋_GB2312"/>
          <w:color w:val="auto"/>
          <w:szCs w:val="32"/>
        </w:rPr>
        <w:t>（3）其他需要报送的台账按市城市管理领导小组办公室通知为准。</w:t>
      </w:r>
    </w:p>
    <w:p>
      <w:pPr>
        <w:adjustRightInd w:val="0"/>
        <w:snapToGrid w:val="0"/>
        <w:spacing w:line="600" w:lineRule="exact"/>
        <w:ind w:left="720"/>
        <w:rPr>
          <w:color w:val="auto"/>
        </w:rPr>
      </w:pPr>
      <w:r>
        <w:rPr>
          <w:rFonts w:eastAsia="仿宋_GB2312"/>
          <w:color w:val="auto"/>
          <w:szCs w:val="32"/>
        </w:rPr>
        <w:t>（4）报送台账应加盖县区人民政府公章（含电子版）。</w:t>
      </w:r>
    </w:p>
    <w:p>
      <w:pPr>
        <w:adjustRightInd w:val="0"/>
        <w:snapToGrid w:val="0"/>
        <w:spacing w:line="600" w:lineRule="exact"/>
        <w:ind w:firstLine="622" w:firstLineChars="200"/>
        <w:rPr>
          <w:rFonts w:eastAsia="仿宋_GB2312"/>
          <w:color w:val="auto"/>
          <w:szCs w:val="32"/>
        </w:rPr>
      </w:pPr>
      <w:r>
        <w:rPr>
          <w:rFonts w:hint="eastAsia" w:eastAsia="仿宋_GB2312"/>
          <w:strike w:val="0"/>
          <w:dstrike w:val="0"/>
          <w:color w:val="auto"/>
          <w:szCs w:val="32"/>
          <w:lang w:val="en-US" w:eastAsia="zh-CN"/>
        </w:rPr>
        <w:t>3.</w:t>
      </w:r>
      <w:r>
        <w:rPr>
          <w:rFonts w:eastAsia="仿宋_GB2312"/>
          <w:color w:val="auto"/>
          <w:szCs w:val="32"/>
        </w:rPr>
        <w:t>拆违考评（6分）：该项为年度考评内容，直接计入各县区年度考评总分。按每年12月31日截止计算，拆除10000</w:t>
      </w:r>
      <w:r>
        <w:rPr>
          <w:rFonts w:hint="eastAsia" w:eastAsia="仿宋_GB2312"/>
          <w:color w:val="auto"/>
          <w:szCs w:val="32"/>
          <w:lang w:eastAsia="zh-CN"/>
        </w:rPr>
        <w:t>平方米</w:t>
      </w:r>
      <w:r>
        <w:rPr>
          <w:rFonts w:eastAsia="仿宋_GB2312"/>
          <w:color w:val="auto"/>
          <w:szCs w:val="32"/>
        </w:rPr>
        <w:t>，得基本分；拆违面积不足10000平方米的，扣6分；每多拆5000平方米，加0.2分，加分最高不超过4分（含4分）。</w:t>
      </w:r>
    </w:p>
    <w:p>
      <w:pPr>
        <w:numPr>
          <w:ilvl w:val="0"/>
          <w:numId w:val="0"/>
        </w:numPr>
        <w:adjustRightInd w:val="0"/>
        <w:snapToGrid w:val="0"/>
        <w:spacing w:line="600" w:lineRule="exact"/>
        <w:ind w:left="720"/>
        <w:jc w:val="left"/>
        <w:outlineLvl w:val="2"/>
        <w:rPr>
          <w:rFonts w:hint="eastAsia" w:eastAsia="方正楷体_GB2312" w:cs="方正仿宋_GB2312"/>
          <w:color w:val="auto"/>
          <w:szCs w:val="32"/>
        </w:rPr>
      </w:pPr>
      <w:r>
        <w:rPr>
          <w:rFonts w:hint="eastAsia" w:ascii="楷体" w:hAnsi="楷体" w:eastAsia="楷体" w:cs="楷体"/>
          <w:color w:val="auto"/>
          <w:szCs w:val="32"/>
        </w:rPr>
        <w:t>（</w:t>
      </w:r>
      <w:r>
        <w:rPr>
          <w:rFonts w:hint="eastAsia" w:ascii="楷体" w:hAnsi="楷体" w:eastAsia="楷体" w:cs="楷体"/>
          <w:color w:val="auto"/>
          <w:szCs w:val="32"/>
          <w:lang w:val="en-US" w:eastAsia="zh-CN"/>
        </w:rPr>
        <w:t>三</w:t>
      </w:r>
      <w:r>
        <w:rPr>
          <w:rFonts w:hint="eastAsia" w:ascii="楷体" w:hAnsi="楷体" w:eastAsia="楷体" w:cs="楷体"/>
          <w:color w:val="auto"/>
          <w:szCs w:val="32"/>
        </w:rPr>
        <w:t>）环境卫生管理考评</w:t>
      </w:r>
      <w:r>
        <w:rPr>
          <w:rFonts w:hint="default" w:eastAsia="楷体"/>
          <w:color w:val="auto"/>
          <w:szCs w:val="32"/>
        </w:rPr>
        <w:t>10</w:t>
      </w:r>
      <w:r>
        <w:rPr>
          <w:rFonts w:hint="eastAsia" w:ascii="楷体" w:hAnsi="楷体" w:eastAsia="楷体" w:cs="楷体"/>
          <w:color w:val="auto"/>
          <w:szCs w:val="32"/>
        </w:rPr>
        <w:t>分</w:t>
      </w:r>
    </w:p>
    <w:p>
      <w:pPr>
        <w:adjustRightInd w:val="0"/>
        <w:snapToGrid w:val="0"/>
        <w:spacing w:line="580" w:lineRule="exact"/>
        <w:ind w:firstLine="624"/>
        <w:rPr>
          <w:rFonts w:eastAsia="仿宋_GB2312"/>
          <w:snapToGrid w:val="0"/>
          <w:color w:val="auto"/>
          <w:kern w:val="0"/>
          <w:szCs w:val="32"/>
        </w:rPr>
      </w:pPr>
      <w:r>
        <w:rPr>
          <w:rFonts w:eastAsia="仿宋_GB2312"/>
          <w:snapToGrid w:val="0"/>
          <w:color w:val="auto"/>
          <w:kern w:val="0"/>
          <w:szCs w:val="32"/>
        </w:rPr>
        <w:t>由市环境卫生管理处根据《国家卫生城镇标准指导手册》《全国文明城市实地考察操作手册》和相关国家标准，对两县六区环境卫生作业人员管理；主次干道（含重点场所周边）管理；主次干道深度清洗（含机械化作业）管理；社区街道、无物业小区、城中村、城乡结合部管理；环境卫生作业车辆车容车貌管理；漓江干流城区段步道管理；夜间生活垃圾收运管理；生活垃圾中转站管理；爱心驿站管理九个方面进行考核评分，并计分后报市城市管理领导小组办公室，考核周期统计时间为上月25日24时起至当月26日0时止。环境卫生管理考评得分=作业人员管理（1.5分）+主次干道（含重点场所周边）管理（2分）+道路深度清洗（1分）+社区街道、无物业小区、城中村、城乡结合部管理（1分）+环卫运输车辆管理（1.5分）+生活垃圾中转站管理（1分）+夜间生活垃圾收运管理（1分）+邻水步道管理（0.5分）+爱心驿站管理（0.5分）+月度扣分项目分数（扣分项目中每出现一例按规定扣分）。</w:t>
      </w:r>
    </w:p>
    <w:p>
      <w:pPr>
        <w:numPr>
          <w:ilvl w:val="0"/>
          <w:numId w:val="0"/>
        </w:num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1.</w:t>
      </w:r>
      <w:r>
        <w:rPr>
          <w:rFonts w:eastAsia="仿宋_GB2312"/>
          <w:snapToGrid w:val="0"/>
          <w:color w:val="auto"/>
          <w:kern w:val="0"/>
          <w:szCs w:val="32"/>
        </w:rPr>
        <w:t>作业人员管理（1.5分）：环卫作业人员必须根据季节按要求穿带有安全标识的统一环卫工作服，佩戴工作帽，禁止穿高跟鞋、拖鞋、裙装作业。夜间作业必须穿戴配有反光标志的安全作业服和强反光背心，上班期间禁止做无关工作的事情。按照《城镇市容环境卫生劳动定额》足额配置清扫保洁作业人员；主次干道每日保洁时间不低于16小时，街巷路面每日保洁时间不低于12 小时。</w:t>
      </w:r>
    </w:p>
    <w:p>
      <w:pPr>
        <w:numPr>
          <w:ilvl w:val="0"/>
          <w:numId w:val="0"/>
        </w:num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2.</w:t>
      </w:r>
      <w:r>
        <w:rPr>
          <w:rFonts w:eastAsia="仿宋_GB2312"/>
          <w:snapToGrid w:val="0"/>
          <w:color w:val="auto"/>
          <w:kern w:val="0"/>
          <w:szCs w:val="32"/>
        </w:rPr>
        <w:t>主次干道（含重点场所周边）管理（2分）：道路（含人行过街天桥、人行地下通道等道路附属设施）达到“六无</w:t>
      </w:r>
      <w:r>
        <w:rPr>
          <w:rFonts w:hint="eastAsia" w:eastAsia="仿宋_GB2312"/>
          <w:snapToGrid w:val="0"/>
          <w:color w:val="auto"/>
          <w:kern w:val="0"/>
          <w:szCs w:val="32"/>
          <w:lang w:eastAsia="zh-CN"/>
        </w:rPr>
        <w:t>”“</w:t>
      </w:r>
      <w:r>
        <w:rPr>
          <w:rFonts w:eastAsia="仿宋_GB2312"/>
          <w:snapToGrid w:val="0"/>
          <w:color w:val="auto"/>
          <w:kern w:val="0"/>
          <w:szCs w:val="32"/>
        </w:rPr>
        <w:t>五净”，即无果皮纸屑，无塑膜烟头、无砖瓦石块、无呕吐物、无动物尸体、无生活垃圾</w:t>
      </w:r>
      <w:r>
        <w:rPr>
          <w:rFonts w:hint="eastAsia" w:eastAsia="仿宋_GB2312"/>
          <w:snapToGrid w:val="0"/>
          <w:color w:val="auto"/>
          <w:kern w:val="0"/>
          <w:szCs w:val="32"/>
        </w:rPr>
        <w:t>（</w:t>
      </w:r>
      <w:r>
        <w:rPr>
          <w:rFonts w:eastAsia="仿宋_GB2312"/>
          <w:snapToGrid w:val="0"/>
          <w:color w:val="auto"/>
          <w:kern w:val="0"/>
          <w:szCs w:val="32"/>
        </w:rPr>
        <w:t>粪便</w:t>
      </w:r>
      <w:r>
        <w:rPr>
          <w:rFonts w:hint="eastAsia" w:eastAsia="仿宋_GB2312"/>
          <w:snapToGrid w:val="0"/>
          <w:color w:val="auto"/>
          <w:kern w:val="0"/>
          <w:szCs w:val="32"/>
        </w:rPr>
        <w:t>）</w:t>
      </w:r>
      <w:r>
        <w:rPr>
          <w:rFonts w:eastAsia="仿宋_GB2312"/>
          <w:snapToGrid w:val="0"/>
          <w:color w:val="auto"/>
          <w:kern w:val="0"/>
          <w:szCs w:val="32"/>
        </w:rPr>
        <w:t>堆积；路面</w:t>
      </w:r>
      <w:r>
        <w:rPr>
          <w:rFonts w:hint="eastAsia" w:eastAsia="仿宋_GB2312"/>
          <w:snapToGrid w:val="0"/>
          <w:color w:val="auto"/>
          <w:kern w:val="0"/>
          <w:szCs w:val="32"/>
        </w:rPr>
        <w:t>（</w:t>
      </w:r>
      <w:r>
        <w:rPr>
          <w:rFonts w:eastAsia="仿宋_GB2312"/>
          <w:snapToGrid w:val="0"/>
          <w:color w:val="auto"/>
          <w:kern w:val="0"/>
          <w:szCs w:val="32"/>
        </w:rPr>
        <w:t>人行道</w:t>
      </w:r>
      <w:r>
        <w:rPr>
          <w:rFonts w:hint="eastAsia" w:eastAsia="仿宋_GB2312"/>
          <w:snapToGrid w:val="0"/>
          <w:color w:val="auto"/>
          <w:kern w:val="0"/>
          <w:szCs w:val="32"/>
        </w:rPr>
        <w:t>）</w:t>
      </w:r>
      <w:r>
        <w:rPr>
          <w:rFonts w:eastAsia="仿宋_GB2312"/>
          <w:snapToGrid w:val="0"/>
          <w:color w:val="auto"/>
          <w:kern w:val="0"/>
          <w:szCs w:val="32"/>
        </w:rPr>
        <w:t>净、路</w:t>
      </w:r>
      <w:r>
        <w:rPr>
          <w:rFonts w:hint="eastAsia" w:eastAsia="仿宋_GB2312"/>
          <w:snapToGrid w:val="0"/>
          <w:color w:val="auto"/>
          <w:kern w:val="0"/>
          <w:szCs w:val="32"/>
        </w:rPr>
        <w:t>（</w:t>
      </w:r>
      <w:r>
        <w:rPr>
          <w:rFonts w:eastAsia="仿宋_GB2312"/>
          <w:snapToGrid w:val="0"/>
          <w:color w:val="auto"/>
          <w:kern w:val="0"/>
          <w:szCs w:val="32"/>
        </w:rPr>
        <w:t>花带</w:t>
      </w:r>
      <w:r>
        <w:rPr>
          <w:rFonts w:hint="eastAsia" w:eastAsia="仿宋_GB2312"/>
          <w:snapToGrid w:val="0"/>
          <w:color w:val="auto"/>
          <w:kern w:val="0"/>
          <w:szCs w:val="32"/>
        </w:rPr>
        <w:t>）</w:t>
      </w:r>
      <w:r>
        <w:rPr>
          <w:rFonts w:eastAsia="仿宋_GB2312"/>
          <w:snapToGrid w:val="0"/>
          <w:color w:val="auto"/>
          <w:kern w:val="0"/>
          <w:szCs w:val="32"/>
        </w:rPr>
        <w:t>沿石净、边沟净、下水口净、树穴净。绿化带（花坛、树穴）保持干净整洁，无生活垃圾、无杂物。主次干道可视范围内不得设置垃圾桶，按照相关标准合理设置果皮箱。果皮箱摆放整齐，箱体整洁完好，及时清运、无堆积；周边无散落生活垃圾和积留污水，无恶臭，基本无蝇。</w:t>
      </w:r>
    </w:p>
    <w:p>
      <w:pPr>
        <w:numPr>
          <w:ilvl w:val="0"/>
          <w:numId w:val="0"/>
        </w:num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3.</w:t>
      </w:r>
      <w:r>
        <w:rPr>
          <w:rFonts w:eastAsia="仿宋_GB2312"/>
          <w:snapToGrid w:val="0"/>
          <w:color w:val="auto"/>
          <w:kern w:val="0"/>
          <w:szCs w:val="32"/>
        </w:rPr>
        <w:t>道路深度清洗（1分）：采取高压冲洗、机扫、人工洗刷相互配合清除路面积泥、沙石、油渍、污迹。清洗后车行道、人行道路面、隔离栏地面见本色，下水口无堵塞现象。</w:t>
      </w:r>
    </w:p>
    <w:p>
      <w:pPr>
        <w:numPr>
          <w:ilvl w:val="0"/>
          <w:numId w:val="0"/>
        </w:numPr>
        <w:adjustRightInd w:val="0"/>
        <w:snapToGrid w:val="0"/>
        <w:spacing w:line="580" w:lineRule="exact"/>
        <w:ind w:firstLine="622" w:firstLineChars="200"/>
        <w:rPr>
          <w:color w:val="auto"/>
        </w:rPr>
      </w:pPr>
      <w:r>
        <w:rPr>
          <w:rFonts w:hint="default" w:ascii="Times New Roman" w:hAnsi="Times New Roman" w:eastAsia="仿宋_GB2312" w:cs="Times New Roman"/>
          <w:snapToGrid w:val="0"/>
          <w:color w:val="auto"/>
          <w:kern w:val="0"/>
          <w:szCs w:val="32"/>
          <w:lang w:val="en-US" w:eastAsia="zh-CN"/>
        </w:rPr>
        <w:t>4.</w:t>
      </w:r>
      <w:r>
        <w:rPr>
          <w:rFonts w:hint="default" w:ascii="Times New Roman" w:hAnsi="Times New Roman" w:eastAsia="仿宋_GB2312" w:cs="Times New Roman"/>
          <w:snapToGrid w:val="0"/>
          <w:color w:val="auto"/>
          <w:kern w:val="0"/>
          <w:sz w:val="32"/>
          <w:szCs w:val="32"/>
          <w:highlight w:val="none"/>
          <w:lang w:val="en-US" w:eastAsia="zh-CN"/>
        </w:rPr>
        <w:t>社区街道、地摊经济集中点、无物业小区、城中村、城乡结合部管理（1分）</w:t>
      </w:r>
      <w:r>
        <w:rPr>
          <w:rFonts w:ascii="Times New Roman" w:hAnsi="Times New Roman" w:eastAsia="仿宋_GB2312" w:cs="Times New Roman"/>
          <w:snapToGrid w:val="0"/>
          <w:color w:val="auto"/>
          <w:kern w:val="0"/>
          <w:szCs w:val="32"/>
        </w:rPr>
        <w:t>：区域内有专人清扫保洁，设有生活垃圾池</w:t>
      </w:r>
      <w:r>
        <w:rPr>
          <w:rFonts w:eastAsia="仿宋_GB2312"/>
          <w:snapToGrid w:val="0"/>
          <w:color w:val="auto"/>
          <w:kern w:val="0"/>
          <w:szCs w:val="32"/>
        </w:rPr>
        <w:t>或垃圾收集容器，容器堆放生活垃圾或实行上门服务。生活垃圾日产日清，无堆积腐烂现象，无乱倒垃圾和卫生死角。区域内水域保持清洁，无垃圾、污水等排入水域现象，水面无废弃漂浮物。区域内无饲养家禽家畜现象。</w:t>
      </w:r>
    </w:p>
    <w:p>
      <w:pPr>
        <w:numPr>
          <w:ilvl w:val="0"/>
          <w:numId w:val="0"/>
        </w:num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5.</w:t>
      </w:r>
      <w:r>
        <w:rPr>
          <w:rFonts w:eastAsia="仿宋_GB2312"/>
          <w:snapToGrid w:val="0"/>
          <w:color w:val="auto"/>
          <w:kern w:val="0"/>
          <w:szCs w:val="32"/>
        </w:rPr>
        <w:t>环卫运输车辆管理（1.5分）：生活垃圾专用密闭运输车辆须车容整洁，标志清晰，车体外部无污物、灰垢，车辆完好；生活垃圾实行全程密闭式运输，运输途中须无垃圾扬、撒、拖挂、夹带、吊挂和渗滤液滴漏；装运量以车辆的额定荷载和有效容积为限，不得超重、超高和超速作。</w:t>
      </w:r>
    </w:p>
    <w:p>
      <w:pPr>
        <w:numPr>
          <w:ilvl w:val="0"/>
          <w:numId w:val="0"/>
        </w:num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6.</w:t>
      </w:r>
      <w:r>
        <w:rPr>
          <w:rFonts w:eastAsia="仿宋_GB2312"/>
          <w:snapToGrid w:val="0"/>
          <w:color w:val="auto"/>
          <w:kern w:val="0"/>
          <w:szCs w:val="32"/>
        </w:rPr>
        <w:t>夜间生活垃圾收运管理（1分）：有专人负责，严格按操作流程作业；工具、物品放置有序整洁。有防尘、除臭、消杀及污水处置等设施，并按要求进行规范操作，设施设备完好。内外场地整洁，地面无撒落生活垃圾、污渍和堆积杂物，无积留污水，墙面无粘附物，无明显污迹；室内通风良好，无恶臭。生活垃圾须日产日清，垃圾转运容器整洁、无积垢、无吊挂垃圾。</w:t>
      </w:r>
    </w:p>
    <w:p>
      <w:pPr>
        <w:numPr>
          <w:ilvl w:val="0"/>
          <w:numId w:val="0"/>
        </w:num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7.</w:t>
      </w:r>
      <w:r>
        <w:rPr>
          <w:rFonts w:eastAsia="仿宋_GB2312"/>
          <w:snapToGrid w:val="0"/>
          <w:color w:val="auto"/>
          <w:kern w:val="0"/>
          <w:szCs w:val="32"/>
        </w:rPr>
        <w:t>生活垃圾中转站管理（1分）：生活垃圾及时清运，无堆积；生活垃圾收集容器周边无散落垃圾和积留污水。</w:t>
      </w:r>
    </w:p>
    <w:p>
      <w:pPr>
        <w:numPr>
          <w:ilvl w:val="0"/>
          <w:numId w:val="0"/>
        </w:num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8.</w:t>
      </w:r>
      <w:r>
        <w:rPr>
          <w:rFonts w:eastAsia="仿宋_GB2312"/>
          <w:snapToGrid w:val="0"/>
          <w:color w:val="auto"/>
          <w:kern w:val="0"/>
          <w:szCs w:val="32"/>
        </w:rPr>
        <w:t>邻水步道管理（0.5分）：不得有步道清扫保洁空白或未落实地段，保持环境卫生整洁，无暴露垃圾、粪便、污迹、渣土等。</w:t>
      </w:r>
    </w:p>
    <w:p>
      <w:pPr>
        <w:numPr>
          <w:ilvl w:val="0"/>
          <w:numId w:val="0"/>
        </w:num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9.</w:t>
      </w:r>
      <w:r>
        <w:rPr>
          <w:rFonts w:eastAsia="仿宋_GB2312"/>
          <w:snapToGrid w:val="0"/>
          <w:color w:val="auto"/>
          <w:kern w:val="0"/>
          <w:szCs w:val="32"/>
        </w:rPr>
        <w:t>爱心驿站管理（0.5分）：在显著位置悬挂统一的标牌，标明“爱心驿站”名称、开放时间、值班人员电话、监督电话等内容</w:t>
      </w:r>
      <w:r>
        <w:rPr>
          <w:rFonts w:hint="eastAsia" w:eastAsia="仿宋_GB2312"/>
          <w:snapToGrid w:val="0"/>
          <w:color w:val="auto"/>
          <w:kern w:val="0"/>
          <w:szCs w:val="32"/>
          <w:lang w:eastAsia="zh-CN"/>
        </w:rPr>
        <w:t>；</w:t>
      </w:r>
      <w:r>
        <w:rPr>
          <w:rFonts w:eastAsia="仿宋_GB2312"/>
          <w:snapToGrid w:val="0"/>
          <w:color w:val="auto"/>
          <w:kern w:val="0"/>
          <w:szCs w:val="32"/>
        </w:rPr>
        <w:t>保证正常通水通电，物品摆放有序，内外环境整洁，设施设备完好</w:t>
      </w:r>
      <w:r>
        <w:rPr>
          <w:rFonts w:hint="eastAsia" w:eastAsia="仿宋_GB2312"/>
          <w:snapToGrid w:val="0"/>
          <w:color w:val="auto"/>
          <w:kern w:val="0"/>
          <w:szCs w:val="32"/>
          <w:lang w:eastAsia="zh-CN"/>
        </w:rPr>
        <w:t>；</w:t>
      </w:r>
      <w:r>
        <w:rPr>
          <w:rFonts w:eastAsia="仿宋_GB2312"/>
          <w:snapToGrid w:val="0"/>
          <w:color w:val="auto"/>
          <w:kern w:val="0"/>
          <w:szCs w:val="32"/>
        </w:rPr>
        <w:t>有专人负责，并实行值班制度，值班人员要保持在岗在位，每天开放服务时间为 9:00</w:t>
      </w:r>
      <w:r>
        <w:rPr>
          <w:rFonts w:hint="eastAsia" w:eastAsia="仿宋_GB2312"/>
          <w:snapToGrid w:val="0"/>
          <w:color w:val="auto"/>
          <w:kern w:val="0"/>
          <w:szCs w:val="32"/>
        </w:rPr>
        <w:t>—</w:t>
      </w:r>
      <w:r>
        <w:rPr>
          <w:rFonts w:eastAsia="仿宋_GB2312"/>
          <w:snapToGrid w:val="0"/>
          <w:color w:val="auto"/>
          <w:kern w:val="0"/>
          <w:szCs w:val="32"/>
        </w:rPr>
        <w:t>17:00。不得擅自改变“爱心驿站”的用途.</w:t>
      </w:r>
    </w:p>
    <w:p>
      <w:p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10.</w:t>
      </w:r>
      <w:r>
        <w:rPr>
          <w:rFonts w:eastAsia="仿宋_GB2312"/>
          <w:snapToGrid w:val="0"/>
          <w:color w:val="auto"/>
          <w:kern w:val="0"/>
          <w:szCs w:val="32"/>
        </w:rPr>
        <w:t>月度扣分项目分数：项目中每出现不达标一例按规定扣分</w:t>
      </w:r>
    </w:p>
    <w:p>
      <w:pPr>
        <w:numPr>
          <w:ilvl w:val="0"/>
          <w:numId w:val="0"/>
        </w:numPr>
        <w:adjustRightInd w:val="0"/>
        <w:snapToGrid w:val="0"/>
        <w:spacing w:line="600" w:lineRule="exact"/>
        <w:ind w:left="720"/>
        <w:jc w:val="left"/>
        <w:outlineLvl w:val="2"/>
        <w:rPr>
          <w:rFonts w:hint="eastAsia" w:eastAsia="方正楷体_GB2312" w:cs="方正仿宋_GB2312"/>
          <w:color w:val="auto"/>
          <w:szCs w:val="32"/>
        </w:rPr>
      </w:pPr>
      <w:r>
        <w:rPr>
          <w:rFonts w:hint="eastAsia" w:ascii="楷体" w:hAnsi="楷体" w:eastAsia="楷体" w:cs="楷体"/>
          <w:snapToGrid/>
          <w:color w:val="auto"/>
          <w:kern w:val="2"/>
          <w:szCs w:val="32"/>
        </w:rPr>
        <w:t>（</w:t>
      </w:r>
      <w:r>
        <w:rPr>
          <w:rFonts w:hint="eastAsia" w:ascii="楷体" w:hAnsi="楷体" w:eastAsia="楷体" w:cs="楷体"/>
          <w:color w:val="auto"/>
          <w:szCs w:val="32"/>
          <w:lang w:val="en-US" w:eastAsia="zh-CN"/>
        </w:rPr>
        <w:t>四</w:t>
      </w:r>
      <w:r>
        <w:rPr>
          <w:rFonts w:hint="eastAsia" w:ascii="楷体" w:hAnsi="楷体" w:eastAsia="楷体" w:cs="楷体"/>
          <w:color w:val="auto"/>
          <w:szCs w:val="32"/>
        </w:rPr>
        <w:t>）建筑垃圾处置管理考评</w:t>
      </w:r>
      <w:r>
        <w:rPr>
          <w:rFonts w:hint="default" w:eastAsia="楷体"/>
          <w:color w:val="auto"/>
          <w:szCs w:val="32"/>
        </w:rPr>
        <w:t>6</w:t>
      </w:r>
      <w:r>
        <w:rPr>
          <w:rFonts w:hint="eastAsia" w:ascii="楷体" w:hAnsi="楷体" w:eastAsia="楷体" w:cs="楷体"/>
          <w:color w:val="auto"/>
          <w:szCs w:val="32"/>
        </w:rPr>
        <w:t>分</w:t>
      </w:r>
    </w:p>
    <w:p>
      <w:pPr>
        <w:adjustRightInd w:val="0"/>
        <w:snapToGrid w:val="0"/>
        <w:spacing w:line="580" w:lineRule="exact"/>
        <w:ind w:firstLine="624"/>
        <w:rPr>
          <w:rFonts w:eastAsia="仿宋_GB2312"/>
          <w:snapToGrid w:val="0"/>
          <w:color w:val="auto"/>
          <w:kern w:val="0"/>
          <w:szCs w:val="32"/>
        </w:rPr>
      </w:pPr>
      <w:r>
        <w:rPr>
          <w:rFonts w:eastAsia="仿宋_GB2312"/>
          <w:snapToGrid w:val="0"/>
          <w:color w:val="auto"/>
          <w:kern w:val="0"/>
          <w:szCs w:val="32"/>
        </w:rPr>
        <w:t>由市环境卫生管理处对建筑垃圾和散装建筑材料运输车辆管理、建筑垃圾以及材料路面污染管理、建筑垃圾排放、处置管理、建筑垃圾消纳场（点）建设工作进行考核评分，并计分后报市城市管理领导小组办公室，考核周期统计时间为上月25日24时起至当月26日0时止。建筑垃圾处置得分=建筑垃圾和散装建筑材料运输车辆管理（1.5分）+建筑垃圾及材料路面污染管理（1.5分）+排放管理（2分）+问题整改（1分）+月度扣分项目分数（扣分项目中每出现一例按规定扣分）。</w:t>
      </w:r>
    </w:p>
    <w:p>
      <w:p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1.</w:t>
      </w:r>
      <w:r>
        <w:rPr>
          <w:rFonts w:eastAsia="仿宋_GB2312"/>
          <w:snapToGrid w:val="0"/>
          <w:color w:val="auto"/>
          <w:kern w:val="0"/>
          <w:szCs w:val="32"/>
        </w:rPr>
        <w:t>建筑垃圾和散装建筑材料运输车辆管理（1.5分）：车辆标识清晰，车辆车体无脏污，不允许使用旧车运输，车辆车轮无带泥上路等现象，车辆密闭，无超载高尖。必须携证运输，建筑垃圾运输车辆要有渣土公司处置许可证、车辆准运证、建设项目处置许可证；装修垃圾运输车辆要有渣土公司处置许可证、车辆准运证、装修垃圾处置备案表。车辆按规定时间、路线行驶。</w:t>
      </w:r>
    </w:p>
    <w:p>
      <w:p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2.</w:t>
      </w:r>
      <w:r>
        <w:rPr>
          <w:rFonts w:eastAsia="仿宋_GB2312"/>
          <w:snapToGrid w:val="0"/>
          <w:color w:val="auto"/>
          <w:kern w:val="0"/>
          <w:szCs w:val="32"/>
        </w:rPr>
        <w:t>建筑垃圾及材料路面污染管理（1.5分）：建筑工地门口及周边路面干净整洁，无夹带扬尘污染路面。</w:t>
      </w:r>
    </w:p>
    <w:p>
      <w:p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3.</w:t>
      </w:r>
      <w:r>
        <w:rPr>
          <w:rFonts w:eastAsia="仿宋_GB2312"/>
          <w:snapToGrid w:val="0"/>
          <w:color w:val="auto"/>
          <w:kern w:val="0"/>
          <w:szCs w:val="32"/>
        </w:rPr>
        <w:t>排放管理（2分）：道路</w:t>
      </w:r>
      <w:r>
        <w:rPr>
          <w:rFonts w:hint="eastAsia" w:eastAsia="仿宋_GB2312"/>
          <w:snapToGrid w:val="0"/>
          <w:color w:val="auto"/>
          <w:kern w:val="0"/>
          <w:szCs w:val="32"/>
        </w:rPr>
        <w:t>（</w:t>
      </w:r>
      <w:r>
        <w:rPr>
          <w:rFonts w:eastAsia="仿宋_GB2312"/>
          <w:snapToGrid w:val="0"/>
          <w:color w:val="auto"/>
          <w:kern w:val="0"/>
          <w:szCs w:val="32"/>
        </w:rPr>
        <w:t>含绿化带</w:t>
      </w:r>
      <w:r>
        <w:rPr>
          <w:rFonts w:hint="eastAsia" w:eastAsia="仿宋_GB2312"/>
          <w:snapToGrid w:val="0"/>
          <w:color w:val="auto"/>
          <w:kern w:val="0"/>
          <w:szCs w:val="32"/>
        </w:rPr>
        <w:t>）</w:t>
      </w:r>
      <w:r>
        <w:rPr>
          <w:rFonts w:eastAsia="仿宋_GB2312"/>
          <w:snapToGrid w:val="0"/>
          <w:color w:val="auto"/>
          <w:kern w:val="0"/>
          <w:szCs w:val="32"/>
        </w:rPr>
        <w:t xml:space="preserve">及其他公共区域，无建筑垃圾、施工废弃料乱倾倒、散装建筑材料，占道堆放现象。    </w:t>
      </w:r>
    </w:p>
    <w:p>
      <w:p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4.</w:t>
      </w:r>
      <w:r>
        <w:rPr>
          <w:rFonts w:eastAsia="仿宋_GB2312"/>
          <w:snapToGrid w:val="0"/>
          <w:color w:val="auto"/>
          <w:kern w:val="0"/>
          <w:szCs w:val="32"/>
        </w:rPr>
        <w:t>问题整改（1分）：当日及时处理并反馈指出的问题，区域内建筑施工及装修产生的建筑垃圾及时清除。</w:t>
      </w:r>
    </w:p>
    <w:p>
      <w:pPr>
        <w:adjustRightInd w:val="0"/>
        <w:snapToGrid w:val="0"/>
        <w:spacing w:line="580" w:lineRule="exact"/>
        <w:ind w:firstLine="622" w:firstLineChars="200"/>
        <w:rPr>
          <w:rFonts w:eastAsia="仿宋_GB2312"/>
          <w:color w:val="auto"/>
          <w:szCs w:val="32"/>
        </w:rPr>
      </w:pPr>
      <w:r>
        <w:rPr>
          <w:rFonts w:hint="eastAsia" w:eastAsia="仿宋_GB2312"/>
          <w:snapToGrid w:val="0"/>
          <w:color w:val="auto"/>
          <w:kern w:val="0"/>
          <w:szCs w:val="32"/>
          <w:lang w:val="en-US" w:eastAsia="zh-CN"/>
        </w:rPr>
        <w:t>5.</w:t>
      </w:r>
      <w:r>
        <w:rPr>
          <w:rFonts w:eastAsia="仿宋_GB2312"/>
          <w:snapToGrid w:val="0"/>
          <w:color w:val="auto"/>
          <w:kern w:val="0"/>
          <w:szCs w:val="32"/>
        </w:rPr>
        <w:t>月度扣分项目分数：项目中每出现不达标一例按规定扣分</w:t>
      </w:r>
    </w:p>
    <w:p>
      <w:pPr>
        <w:numPr>
          <w:ilvl w:val="0"/>
          <w:numId w:val="0"/>
        </w:numPr>
        <w:adjustRightInd w:val="0"/>
        <w:snapToGrid w:val="0"/>
        <w:spacing w:line="600" w:lineRule="exact"/>
        <w:ind w:left="720"/>
        <w:jc w:val="left"/>
        <w:outlineLvl w:val="2"/>
        <w:rPr>
          <w:rFonts w:hint="eastAsia" w:eastAsia="方正楷体_GB2312" w:cs="方正仿宋_GB2312"/>
          <w:color w:val="auto"/>
          <w:szCs w:val="32"/>
        </w:rPr>
      </w:pPr>
      <w:r>
        <w:rPr>
          <w:rFonts w:hint="eastAsia" w:ascii="楷体" w:hAnsi="楷体" w:eastAsia="楷体" w:cs="楷体"/>
          <w:snapToGrid/>
          <w:color w:val="auto"/>
          <w:kern w:val="2"/>
          <w:szCs w:val="32"/>
        </w:rPr>
        <w:t>（</w:t>
      </w:r>
      <w:r>
        <w:rPr>
          <w:rFonts w:hint="eastAsia" w:ascii="楷体" w:hAnsi="楷体" w:eastAsia="楷体" w:cs="楷体"/>
          <w:color w:val="auto"/>
          <w:szCs w:val="32"/>
          <w:lang w:val="en-US" w:eastAsia="zh-CN"/>
        </w:rPr>
        <w:t>五</w:t>
      </w:r>
      <w:r>
        <w:rPr>
          <w:rFonts w:hint="eastAsia" w:ascii="楷体" w:hAnsi="楷体" w:eastAsia="楷体" w:cs="楷体"/>
          <w:snapToGrid/>
          <w:color w:val="auto"/>
          <w:kern w:val="2"/>
          <w:szCs w:val="32"/>
        </w:rPr>
        <w:t>）</w:t>
      </w:r>
      <w:r>
        <w:rPr>
          <w:rFonts w:hint="eastAsia" w:ascii="楷体" w:hAnsi="楷体" w:eastAsia="楷体" w:cs="楷体"/>
          <w:color w:val="auto"/>
          <w:szCs w:val="32"/>
        </w:rPr>
        <w:t>生活垃圾分类考评</w:t>
      </w:r>
      <w:r>
        <w:rPr>
          <w:rFonts w:hint="default" w:eastAsia="楷体"/>
          <w:color w:val="auto"/>
          <w:szCs w:val="32"/>
        </w:rPr>
        <w:t>6</w:t>
      </w:r>
      <w:r>
        <w:rPr>
          <w:rFonts w:hint="eastAsia" w:ascii="楷体" w:hAnsi="楷体" w:eastAsia="楷体" w:cs="楷体"/>
          <w:color w:val="auto"/>
          <w:szCs w:val="32"/>
        </w:rPr>
        <w:t>分</w:t>
      </w:r>
    </w:p>
    <w:p>
      <w:pPr>
        <w:adjustRightInd w:val="0"/>
        <w:snapToGrid w:val="0"/>
        <w:spacing w:line="580" w:lineRule="exact"/>
        <w:ind w:firstLine="624"/>
        <w:rPr>
          <w:rFonts w:eastAsia="仿宋_GB2312"/>
          <w:snapToGrid w:val="0"/>
          <w:color w:val="auto"/>
          <w:kern w:val="0"/>
          <w:szCs w:val="32"/>
        </w:rPr>
      </w:pPr>
      <w:r>
        <w:rPr>
          <w:rFonts w:eastAsia="仿宋_GB2312"/>
          <w:snapToGrid w:val="0"/>
          <w:color w:val="auto"/>
          <w:kern w:val="0"/>
          <w:szCs w:val="32"/>
        </w:rPr>
        <w:t>由市环境卫生管理处根据《住房和城乡建设部关于印发省级统筹推进生活垃圾分类工作评估办法和城市生活垃圾分类工作评估办法的通知》（建城〔2021〕58号）、《广西壮族自治区生活垃圾分类工作领导小组办公室关于印发广西城市生活垃圾分类工作评估办法的通知》（桂建城〔2022〕11号）、《桂林市城市管理委员会等9部门关于印发桂林市全面开展生活垃圾分类工作方案的通知》（市城管委发〔2019〕33号）要求，对两县六区生活垃圾分类体制机制建设；组织动员和宣传引导；社区治理和群众参与；分类投放、收集、运输工作四个方面进行考核评分，并计分后报市城市管理领导小组办公室，考核周期统计时间为上月25日24时起至当月26日0时止。生活垃圾分类考评得分=体制机制建设（1.5分）+组织动员和宣传引导（1分）+社区治理和群众参与（1分）+分类投放、收集、运输和处置（2.5分）+月度扣分项目分数（扣分项目中每出现一例按规定扣分）。</w:t>
      </w:r>
    </w:p>
    <w:p>
      <w:pPr>
        <w:numPr>
          <w:ilvl w:val="0"/>
          <w:numId w:val="0"/>
        </w:num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1.</w:t>
      </w:r>
      <w:r>
        <w:rPr>
          <w:rFonts w:eastAsia="仿宋_GB2312"/>
          <w:snapToGrid w:val="0"/>
          <w:color w:val="auto"/>
          <w:kern w:val="0"/>
          <w:szCs w:val="32"/>
        </w:rPr>
        <w:t>体制机制建设（1.5分）：成立专项工作领导小组，日常管理机构明确健全；建立稳定持续的资金投入保障机制；建立健全党建引领，区、街道、社区三级垃圾分类联动机制，明确责任清单建立常态化执法检查机制；落实单位、个人垃圾分类法律责任；制定工作方案，拟定年度工作计划。</w:t>
      </w:r>
    </w:p>
    <w:p>
      <w:pPr>
        <w:numPr>
          <w:ilvl w:val="0"/>
          <w:numId w:val="0"/>
        </w:num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2.</w:t>
      </w:r>
      <w:r>
        <w:rPr>
          <w:rFonts w:eastAsia="仿宋_GB2312"/>
          <w:snapToGrid w:val="0"/>
          <w:color w:val="auto"/>
          <w:kern w:val="0"/>
          <w:szCs w:val="32"/>
        </w:rPr>
        <w:t>组织动员和宣传引导（1分</w:t>
      </w:r>
      <w:r>
        <w:rPr>
          <w:rFonts w:hint="eastAsia" w:eastAsia="仿宋_GB2312"/>
          <w:snapToGrid w:val="0"/>
          <w:color w:val="auto"/>
          <w:kern w:val="0"/>
          <w:szCs w:val="32"/>
        </w:rPr>
        <w:t>）</w:t>
      </w:r>
      <w:r>
        <w:rPr>
          <w:rFonts w:eastAsia="仿宋_GB2312"/>
          <w:snapToGrid w:val="0"/>
          <w:color w:val="auto"/>
          <w:kern w:val="0"/>
          <w:szCs w:val="32"/>
        </w:rPr>
        <w:t>：广泛开展大型主题宣传，营造良好舆论氛围；在市级以上媒体平台宣传报道与生活垃圾分类有关的新闻、信息；加强联系群众，开展经常性入户宣传；辖区范围内车站、商业街区、农贸市场、活动中心、广场、学校、医院、住宅小区等区域的公告栏、宣传栏、电子显示屏等显眼位置张贴生活垃圾分类指引、宣传海报，播放电子宣传海报、标语、宣传片；以生活垃圾分类为载体，结合老旧小区改造、环境综合整治等工作，广泛开展美好环境与幸福生活共同缔造活动。</w:t>
      </w:r>
    </w:p>
    <w:p>
      <w:pPr>
        <w:numPr>
          <w:ilvl w:val="0"/>
          <w:numId w:val="0"/>
        </w:num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3.</w:t>
      </w:r>
      <w:r>
        <w:rPr>
          <w:rFonts w:eastAsia="仿宋_GB2312"/>
          <w:snapToGrid w:val="0"/>
          <w:color w:val="auto"/>
          <w:kern w:val="0"/>
          <w:szCs w:val="32"/>
        </w:rPr>
        <w:t>社区治理和群众参与（1分）：结合精神文明建设推进居民自治生活垃圾分类工作；健全社会服务体系，积极开展生活垃圾分类志愿服务行动和公益活动。</w:t>
      </w:r>
    </w:p>
    <w:p>
      <w:pPr>
        <w:numPr>
          <w:ilvl w:val="0"/>
          <w:numId w:val="0"/>
        </w:num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4.</w:t>
      </w:r>
      <w:r>
        <w:rPr>
          <w:rFonts w:eastAsia="仿宋_GB2312"/>
          <w:snapToGrid w:val="0"/>
          <w:color w:val="auto"/>
          <w:kern w:val="0"/>
          <w:szCs w:val="32"/>
        </w:rPr>
        <w:t>分类投放、收集、运输和处置（2.5分）：辖区居民小区、公共机构、公共场所、经营区域等配齐配足四分类垃圾桶，确保垃圾分类收集设施完备、标识清晰规范。其中有害垃圾桶尽量放置于可实时监管的区域（如门卫等），可回收物桶可用箱、房替代；辖区居民小区应按照200</w:t>
      </w:r>
      <w:r>
        <w:rPr>
          <w:rFonts w:hint="eastAsia" w:eastAsia="仿宋_GB2312"/>
          <w:snapToGrid w:val="0"/>
          <w:color w:val="auto"/>
          <w:kern w:val="0"/>
          <w:szCs w:val="32"/>
        </w:rPr>
        <w:t>—</w:t>
      </w:r>
      <w:r>
        <w:rPr>
          <w:rFonts w:eastAsia="仿宋_GB2312"/>
          <w:snapToGrid w:val="0"/>
          <w:color w:val="auto"/>
          <w:kern w:val="0"/>
          <w:szCs w:val="32"/>
        </w:rPr>
        <w:t>300户标准要求设置含遮雨功能的垃圾分类投放点（老旧小区、楼层限高小区等可根据服务范围大小因地制宜增加投放点），有条件的分类投放点应增加设置含照明、洗手、破袋、灭蚊等便民功能。居民小区实行定时定点分类投放，并应增设误时投放点或采取技术措施方便群众投放。居民小区厨余垃圾实行分类收集、分类运输。非居民厨余垃圾必须由依法经相关部门批准、具备相应资质条件的单位实施统一收集、运输和处置，严禁产生非居民厨余垃圾的单位（不含自治区或市直属公共机构、高等院校）私自非法处置。非居民厨余垃圾交运协议、交运量、交运去向等管理台账完整。每月10日前报送上一月度辖区范围内所收集、运输的生活垃圾（可回收物、有害垃圾、厨余垃圾、其他垃圾）数量台账</w:t>
      </w:r>
    </w:p>
    <w:p>
      <w:pPr>
        <w:adjustRightInd w:val="0"/>
        <w:snapToGrid w:val="0"/>
        <w:spacing w:line="580" w:lineRule="exact"/>
        <w:ind w:firstLine="622" w:firstLineChars="200"/>
        <w:rPr>
          <w:color w:val="auto"/>
        </w:rPr>
      </w:pPr>
      <w:r>
        <w:rPr>
          <w:rFonts w:hint="eastAsia" w:eastAsia="仿宋_GB2312"/>
          <w:snapToGrid w:val="0"/>
          <w:color w:val="auto"/>
          <w:kern w:val="0"/>
          <w:szCs w:val="32"/>
          <w:lang w:val="en-US" w:eastAsia="zh-CN"/>
        </w:rPr>
        <w:t>5.</w:t>
      </w:r>
      <w:r>
        <w:rPr>
          <w:rFonts w:eastAsia="仿宋_GB2312"/>
          <w:snapToGrid w:val="0"/>
          <w:color w:val="auto"/>
          <w:kern w:val="0"/>
          <w:szCs w:val="32"/>
        </w:rPr>
        <w:t>月度扣分项目分数：项目中每出现不达标一例按规定扣分</w:t>
      </w:r>
    </w:p>
    <w:p>
      <w:pPr>
        <w:numPr>
          <w:ilvl w:val="0"/>
          <w:numId w:val="0"/>
        </w:numPr>
        <w:adjustRightInd w:val="0"/>
        <w:snapToGrid w:val="0"/>
        <w:spacing w:line="600" w:lineRule="exact"/>
        <w:ind w:left="720"/>
        <w:jc w:val="left"/>
        <w:outlineLvl w:val="2"/>
        <w:rPr>
          <w:rFonts w:hint="eastAsia" w:eastAsia="方正楷体_GB2312" w:cs="方正仿宋_GB2312"/>
          <w:color w:val="auto"/>
          <w:szCs w:val="32"/>
        </w:rPr>
      </w:pPr>
      <w:r>
        <w:rPr>
          <w:rFonts w:hint="eastAsia" w:ascii="楷体" w:hAnsi="楷体" w:eastAsia="楷体" w:cs="楷体"/>
          <w:snapToGrid/>
          <w:color w:val="auto"/>
          <w:kern w:val="2"/>
          <w:szCs w:val="32"/>
        </w:rPr>
        <w:t>（</w:t>
      </w:r>
      <w:r>
        <w:rPr>
          <w:rFonts w:hint="eastAsia" w:ascii="楷体" w:hAnsi="楷体" w:eastAsia="楷体" w:cs="楷体"/>
          <w:color w:val="auto"/>
          <w:szCs w:val="32"/>
          <w:lang w:val="en-US" w:eastAsia="zh-CN"/>
        </w:rPr>
        <w:t>六</w:t>
      </w:r>
      <w:r>
        <w:rPr>
          <w:rFonts w:hint="eastAsia" w:ascii="楷体" w:hAnsi="楷体" w:eastAsia="楷体" w:cs="楷体"/>
          <w:snapToGrid/>
          <w:color w:val="auto"/>
          <w:kern w:val="2"/>
          <w:szCs w:val="32"/>
        </w:rPr>
        <w:t>）</w:t>
      </w:r>
      <w:r>
        <w:rPr>
          <w:rFonts w:hint="eastAsia" w:ascii="楷体" w:hAnsi="楷体" w:eastAsia="楷体" w:cs="楷体"/>
          <w:color w:val="auto"/>
          <w:szCs w:val="32"/>
        </w:rPr>
        <w:t>媒体宣传考评</w:t>
      </w:r>
      <w:r>
        <w:rPr>
          <w:rFonts w:hint="default" w:eastAsia="楷体"/>
          <w:color w:val="auto"/>
          <w:szCs w:val="32"/>
        </w:rPr>
        <w:t>2</w:t>
      </w:r>
      <w:r>
        <w:rPr>
          <w:rFonts w:hint="eastAsia" w:ascii="楷体" w:hAnsi="楷体" w:eastAsia="楷体" w:cs="楷体"/>
          <w:color w:val="auto"/>
          <w:szCs w:val="32"/>
        </w:rPr>
        <w:t>分</w:t>
      </w:r>
    </w:p>
    <w:p>
      <w:pPr>
        <w:adjustRightInd w:val="0"/>
        <w:snapToGrid w:val="0"/>
        <w:spacing w:line="580" w:lineRule="exact"/>
        <w:ind w:firstLine="622" w:firstLineChars="200"/>
        <w:rPr>
          <w:rFonts w:eastAsia="仿宋_GB2312"/>
          <w:snapToGrid w:val="0"/>
          <w:color w:val="auto"/>
          <w:kern w:val="0"/>
          <w:szCs w:val="32"/>
        </w:rPr>
      </w:pPr>
      <w:r>
        <w:rPr>
          <w:rFonts w:eastAsia="仿宋_GB2312"/>
          <w:snapToGrid w:val="0"/>
          <w:color w:val="auto"/>
          <w:kern w:val="0"/>
          <w:szCs w:val="32"/>
        </w:rPr>
        <w:t>城市管理宣传报道工作分为正面报道和负面曝光两方面，正面报道的在月度考评中得分，负面曝光的在月度考评中扣分。</w:t>
      </w:r>
    </w:p>
    <w:p>
      <w:pPr>
        <w:numPr>
          <w:ilvl w:val="0"/>
          <w:numId w:val="0"/>
        </w:numPr>
        <w:adjustRightInd w:val="0"/>
        <w:snapToGrid w:val="0"/>
        <w:spacing w:line="580" w:lineRule="exact"/>
        <w:ind w:firstLine="622" w:firstLineChars="200"/>
        <w:rPr>
          <w:rFonts w:hint="eastAsia" w:ascii="仿宋" w:hAnsi="仿宋" w:eastAsia="仿宋" w:cs="仿宋"/>
          <w:snapToGrid w:val="0"/>
          <w:color w:val="auto"/>
          <w:kern w:val="0"/>
          <w:szCs w:val="32"/>
        </w:rPr>
      </w:pPr>
      <w:r>
        <w:rPr>
          <w:rFonts w:hint="eastAsia" w:eastAsia="仿宋_GB2312"/>
          <w:snapToGrid w:val="0"/>
          <w:color w:val="auto"/>
          <w:kern w:val="0"/>
          <w:szCs w:val="32"/>
          <w:lang w:val="en-US" w:eastAsia="zh-CN"/>
        </w:rPr>
        <w:t>1.</w:t>
      </w:r>
      <w:r>
        <w:rPr>
          <w:rFonts w:hint="default" w:ascii="Times New Roman" w:hAnsi="Times New Roman" w:eastAsia="仿宋_GB2312" w:cs="Times New Roman"/>
          <w:snapToGrid w:val="0"/>
          <w:color w:val="auto"/>
          <w:kern w:val="0"/>
          <w:szCs w:val="32"/>
        </w:rPr>
        <w:t>正面报道</w:t>
      </w:r>
    </w:p>
    <w:p>
      <w:pPr>
        <w:adjustRightInd w:val="0"/>
        <w:snapToGrid w:val="0"/>
        <w:spacing w:line="580" w:lineRule="exact"/>
        <w:ind w:firstLine="622" w:firstLineChars="200"/>
        <w:rPr>
          <w:rFonts w:eastAsia="仿宋_GB2312"/>
          <w:snapToGrid w:val="0"/>
          <w:color w:val="auto"/>
          <w:kern w:val="0"/>
          <w:szCs w:val="32"/>
        </w:rPr>
      </w:pPr>
      <w:r>
        <w:rPr>
          <w:rFonts w:eastAsia="仿宋_GB2312"/>
          <w:snapToGrid w:val="0"/>
          <w:color w:val="auto"/>
          <w:kern w:val="0"/>
          <w:szCs w:val="32"/>
        </w:rPr>
        <w:t>城市管理方面在县区级媒体上获正面报道的每篇得0.25分、市级得0.5分、省部级得1分、国家级得2分此项最高得分不超过2分。</w:t>
      </w:r>
    </w:p>
    <w:p>
      <w:pPr>
        <w:adjustRightInd w:val="0"/>
        <w:snapToGrid w:val="0"/>
        <w:spacing w:line="580" w:lineRule="exact"/>
        <w:ind w:firstLine="622" w:firstLineChars="200"/>
        <w:rPr>
          <w:rFonts w:eastAsia="仿宋_GB2312"/>
          <w:snapToGrid w:val="0"/>
          <w:color w:val="auto"/>
          <w:kern w:val="0"/>
          <w:szCs w:val="32"/>
        </w:rPr>
      </w:pPr>
      <w:r>
        <w:rPr>
          <w:rFonts w:hint="eastAsia" w:eastAsia="仿宋_GB2312"/>
          <w:snapToGrid w:val="0"/>
          <w:color w:val="auto"/>
          <w:kern w:val="0"/>
          <w:szCs w:val="32"/>
          <w:lang w:val="en-US" w:eastAsia="zh-CN"/>
        </w:rPr>
        <w:t>2.</w:t>
      </w:r>
      <w:r>
        <w:rPr>
          <w:rFonts w:hint="default" w:ascii="Times New Roman" w:hAnsi="Times New Roman" w:eastAsia="仿宋_GB2312" w:cs="Times New Roman"/>
          <w:snapToGrid w:val="0"/>
          <w:color w:val="auto"/>
          <w:kern w:val="0"/>
          <w:szCs w:val="32"/>
          <w:rPrChange w:id="2" w:author="㲚鵚" w:date="2023-09-11T15:06:13Z">
            <w:rPr>
              <w:rFonts w:hint="default" w:ascii="Times New Roman" w:hAnsi="Times New Roman" w:eastAsia="仿宋_GB2312" w:cs="Times New Roman"/>
              <w:snapToGrid w:val="0"/>
              <w:color w:val="auto"/>
              <w:kern w:val="0"/>
              <w:szCs w:val="32"/>
            </w:rPr>
          </w:rPrChange>
        </w:rPr>
        <w:t>负面曝光</w:t>
      </w:r>
    </w:p>
    <w:p>
      <w:pPr>
        <w:adjustRightInd w:val="0"/>
        <w:snapToGrid w:val="0"/>
        <w:spacing w:line="580" w:lineRule="exact"/>
        <w:ind w:firstLine="622" w:firstLineChars="200"/>
        <w:rPr>
          <w:rFonts w:eastAsia="仿宋_GB2312"/>
          <w:snapToGrid w:val="0"/>
          <w:color w:val="auto"/>
          <w:kern w:val="0"/>
          <w:szCs w:val="32"/>
        </w:rPr>
      </w:pPr>
      <w:r>
        <w:rPr>
          <w:rFonts w:eastAsia="仿宋_GB2312"/>
          <w:snapToGrid w:val="0"/>
          <w:color w:val="auto"/>
          <w:kern w:val="0"/>
          <w:szCs w:val="32"/>
        </w:rPr>
        <w:t>媒体曝光反映的城市管理问题，经查实确实是由于工作不履职、失职等原因导致的，在县级媒体上曝光的每篇扣0.25分，在市级媒体上曝光的每篇扣0.5分，在省部级媒体上曝光的每篇扣1分、在中央级媒体上曝光的每篇扣2分，此项扣分不设下限。</w:t>
      </w:r>
    </w:p>
    <w:p>
      <w:pPr>
        <w:numPr>
          <w:ilvl w:val="0"/>
          <w:numId w:val="0"/>
        </w:numPr>
        <w:adjustRightInd w:val="0"/>
        <w:snapToGrid w:val="0"/>
        <w:spacing w:line="600" w:lineRule="exact"/>
        <w:ind w:left="720"/>
        <w:jc w:val="left"/>
        <w:outlineLvl w:val="2"/>
        <w:rPr>
          <w:rFonts w:hint="eastAsia" w:eastAsia="方正楷体_GB2312" w:cs="方正仿宋_GB2312"/>
          <w:color w:val="auto"/>
          <w:szCs w:val="32"/>
        </w:rPr>
      </w:pPr>
      <w:r>
        <w:rPr>
          <w:rFonts w:hint="eastAsia" w:ascii="楷体" w:hAnsi="楷体" w:eastAsia="楷体" w:cs="楷体"/>
          <w:snapToGrid/>
          <w:color w:val="auto"/>
          <w:kern w:val="2"/>
          <w:szCs w:val="32"/>
        </w:rPr>
        <w:t>（</w:t>
      </w:r>
      <w:r>
        <w:rPr>
          <w:rFonts w:hint="eastAsia" w:ascii="楷体" w:hAnsi="楷体" w:eastAsia="楷体" w:cs="楷体"/>
          <w:color w:val="auto"/>
          <w:szCs w:val="32"/>
        </w:rPr>
        <w:t>七</w:t>
      </w:r>
      <w:r>
        <w:rPr>
          <w:rFonts w:hint="eastAsia" w:ascii="楷体" w:hAnsi="楷体" w:eastAsia="楷体" w:cs="楷体"/>
          <w:snapToGrid/>
          <w:color w:val="auto"/>
          <w:kern w:val="2"/>
          <w:szCs w:val="32"/>
        </w:rPr>
        <w:t>）</w:t>
      </w:r>
      <w:r>
        <w:rPr>
          <w:rFonts w:hint="eastAsia" w:ascii="楷体" w:hAnsi="楷体" w:eastAsia="楷体" w:cs="楷体"/>
          <w:color w:val="auto"/>
          <w:szCs w:val="32"/>
        </w:rPr>
        <w:t>大气污染防治考评</w:t>
      </w:r>
      <w:r>
        <w:rPr>
          <w:rFonts w:hint="default" w:eastAsia="楷体"/>
          <w:color w:val="auto"/>
          <w:szCs w:val="32"/>
        </w:rPr>
        <w:t>4</w:t>
      </w:r>
      <w:r>
        <w:rPr>
          <w:rFonts w:hint="eastAsia" w:ascii="楷体" w:hAnsi="楷体" w:eastAsia="楷体" w:cs="楷体"/>
          <w:color w:val="auto"/>
          <w:szCs w:val="32"/>
        </w:rPr>
        <w:t>分</w:t>
      </w:r>
    </w:p>
    <w:p>
      <w:pPr>
        <w:adjustRightInd w:val="0"/>
        <w:snapToGrid w:val="0"/>
        <w:spacing w:line="600" w:lineRule="exact"/>
        <w:ind w:firstLine="622" w:firstLineChars="200"/>
        <w:jc w:val="left"/>
        <w:rPr>
          <w:rFonts w:eastAsia="仿宋_GB2312"/>
          <w:snapToGrid w:val="0"/>
          <w:color w:val="auto"/>
          <w:kern w:val="0"/>
          <w:szCs w:val="32"/>
        </w:rPr>
      </w:pPr>
      <w:r>
        <w:rPr>
          <w:rFonts w:eastAsia="仿宋_GB2312"/>
          <w:snapToGrid w:val="0"/>
          <w:color w:val="auto"/>
          <w:kern w:val="0"/>
          <w:szCs w:val="32"/>
        </w:rPr>
        <w:t>根据《桂林市生态环境保护目标责任书》，对两县六区道路洒水降尘工作、露天烧烤、露天焚烧控制工作进行考核评分。</w:t>
      </w:r>
    </w:p>
    <w:p>
      <w:pPr>
        <w:adjustRightInd w:val="0"/>
        <w:snapToGrid w:val="0"/>
        <w:spacing w:line="600" w:lineRule="exact"/>
        <w:ind w:firstLine="622" w:firstLineChars="200"/>
        <w:jc w:val="left"/>
        <w:rPr>
          <w:rFonts w:eastAsia="仿宋_GB2312"/>
          <w:snapToGrid w:val="0"/>
          <w:color w:val="auto"/>
          <w:kern w:val="0"/>
          <w:szCs w:val="32"/>
        </w:rPr>
      </w:pPr>
      <w:r>
        <w:rPr>
          <w:rFonts w:hint="eastAsia" w:eastAsia="仿宋_GB2312"/>
          <w:snapToGrid w:val="0"/>
          <w:color w:val="auto"/>
          <w:kern w:val="0"/>
          <w:szCs w:val="32"/>
          <w:lang w:val="en-US" w:eastAsia="zh-CN"/>
        </w:rPr>
        <w:t>1.</w:t>
      </w:r>
      <w:r>
        <w:rPr>
          <w:rFonts w:eastAsia="仿宋_GB2312"/>
          <w:snapToGrid w:val="0"/>
          <w:color w:val="auto"/>
          <w:kern w:val="0"/>
          <w:szCs w:val="32"/>
        </w:rPr>
        <w:t>道路洒水降尘工作（2分）：</w:t>
      </w:r>
      <w:r>
        <w:rPr>
          <w:rFonts w:eastAsia="仿宋_GB2312"/>
          <w:snapToGrid w:val="0"/>
          <w:color w:val="auto"/>
          <w:kern w:val="0"/>
          <w:sz w:val="32"/>
          <w:szCs w:val="32"/>
          <w:u w:val="none"/>
        </w:rPr>
        <w:t>由市</w:t>
      </w:r>
      <w:r>
        <w:rPr>
          <w:rFonts w:hint="eastAsia" w:eastAsia="仿宋_GB2312"/>
          <w:snapToGrid w:val="0"/>
          <w:color w:val="auto"/>
          <w:kern w:val="0"/>
          <w:sz w:val="32"/>
          <w:szCs w:val="32"/>
          <w:u w:val="none"/>
          <w:lang w:eastAsia="zh-CN"/>
        </w:rPr>
        <w:t>环境卫生管理处</w:t>
      </w:r>
      <w:r>
        <w:rPr>
          <w:rFonts w:eastAsia="仿宋_GB2312"/>
          <w:snapToGrid w:val="0"/>
          <w:color w:val="auto"/>
          <w:kern w:val="0"/>
          <w:sz w:val="32"/>
          <w:szCs w:val="32"/>
          <w:u w:val="none"/>
        </w:rPr>
        <w:t>统计，计分后报市城市管理信息中心</w:t>
      </w:r>
      <w:r>
        <w:rPr>
          <w:rFonts w:hint="eastAsia" w:eastAsia="仿宋_GB2312"/>
          <w:snapToGrid w:val="0"/>
          <w:color w:val="auto"/>
          <w:kern w:val="0"/>
          <w:sz w:val="32"/>
          <w:szCs w:val="32"/>
          <w:u w:val="none"/>
          <w:lang w:eastAsia="zh-CN"/>
        </w:rPr>
        <w:t>，</w:t>
      </w:r>
      <w:r>
        <w:rPr>
          <w:rFonts w:eastAsia="仿宋_GB2312"/>
          <w:snapToGrid w:val="0"/>
          <w:color w:val="auto"/>
          <w:kern w:val="0"/>
          <w:szCs w:val="32"/>
        </w:rPr>
        <w:t>道路洒水降尘工作考评得分=洒水降尘管理总分×（当月实际洒水公里总里程数÷当月应洒水道路公里数）×100%。</w:t>
      </w:r>
    </w:p>
    <w:p>
      <w:pPr>
        <w:adjustRightInd w:val="0"/>
        <w:snapToGrid w:val="0"/>
        <w:spacing w:line="600" w:lineRule="exact"/>
        <w:ind w:firstLine="622" w:firstLineChars="200"/>
        <w:jc w:val="left"/>
        <w:rPr>
          <w:rFonts w:eastAsia="仿宋_GB2312"/>
          <w:snapToGrid w:val="0"/>
          <w:color w:val="auto"/>
          <w:kern w:val="0"/>
          <w:szCs w:val="32"/>
        </w:rPr>
      </w:pPr>
      <w:r>
        <w:rPr>
          <w:rFonts w:hint="eastAsia" w:eastAsia="仿宋_GB2312"/>
          <w:snapToGrid w:val="0"/>
          <w:color w:val="auto"/>
          <w:kern w:val="0"/>
          <w:szCs w:val="32"/>
          <w:lang w:val="en-US" w:eastAsia="zh-CN"/>
        </w:rPr>
        <w:t>2.</w:t>
      </w:r>
      <w:r>
        <w:rPr>
          <w:rFonts w:eastAsia="仿宋_GB2312"/>
          <w:snapToGrid w:val="0"/>
          <w:color w:val="auto"/>
          <w:kern w:val="0"/>
          <w:szCs w:val="32"/>
        </w:rPr>
        <w:t>露天焚烧控制工作（1分）：</w:t>
      </w:r>
      <w:r>
        <w:rPr>
          <w:rFonts w:hint="default" w:ascii="Times New Roman" w:hAnsi="Times New Roman" w:eastAsia="仿宋_GB2312" w:cs="Times New Roman"/>
          <w:snapToGrid w:val="0"/>
          <w:color w:val="auto"/>
          <w:kern w:val="0"/>
          <w:sz w:val="32"/>
          <w:szCs w:val="32"/>
          <w:highlight w:val="none"/>
          <w:lang w:val="en-US" w:eastAsia="zh-CN"/>
        </w:rPr>
        <w:t>由市环卫处统计建成区除乡镇村外有环卫工人焚烧生活垃圾、树叶、鞭炮屑、街边熏腊肉行为，计分后报市城市管理信息中心。露天焚烧控制考评得分=露天焚烧控制工作总分）+月度扣分项目分数（扣分项目中每出现一例按规定扣分）。</w:t>
      </w:r>
    </w:p>
    <w:p>
      <w:pPr>
        <w:pStyle w:val="2"/>
        <w:spacing w:line="586" w:lineRule="exact"/>
        <w:ind w:firstLine="622" w:firstLineChars="200"/>
        <w:rPr>
          <w:rFonts w:eastAsia="仿宋_GB2312"/>
          <w:snapToGrid w:val="0"/>
          <w:color w:val="auto"/>
          <w:kern w:val="0"/>
          <w:sz w:val="32"/>
          <w:szCs w:val="32"/>
        </w:rPr>
      </w:pPr>
      <w:r>
        <w:rPr>
          <w:rFonts w:hint="eastAsia" w:eastAsia="仿宋_GB2312"/>
          <w:snapToGrid w:val="0"/>
          <w:color w:val="auto"/>
          <w:kern w:val="0"/>
          <w:sz w:val="32"/>
          <w:szCs w:val="32"/>
          <w:lang w:val="en-US" w:eastAsia="zh-CN"/>
        </w:rPr>
        <w:t>3.</w:t>
      </w:r>
      <w:r>
        <w:rPr>
          <w:rFonts w:hint="eastAsia" w:eastAsia="仿宋_GB2312"/>
          <w:snapToGrid w:val="0"/>
          <w:color w:val="auto"/>
          <w:kern w:val="0"/>
          <w:sz w:val="32"/>
          <w:szCs w:val="32"/>
        </w:rPr>
        <w:t>在城市主要街道、重点区域等公共场所烧烤食品控制工作</w:t>
      </w:r>
      <w:r>
        <w:rPr>
          <w:rFonts w:eastAsia="仿宋_GB2312"/>
          <w:snapToGrid w:val="0"/>
          <w:color w:val="auto"/>
          <w:kern w:val="0"/>
          <w:sz w:val="32"/>
          <w:szCs w:val="32"/>
        </w:rPr>
        <w:t>（1分）：由市城管支队统计，计分后报市城市管理信息中心</w:t>
      </w:r>
      <w:r>
        <w:rPr>
          <w:rFonts w:hint="eastAsia" w:eastAsia="仿宋_GB2312"/>
          <w:snapToGrid w:val="0"/>
          <w:color w:val="auto"/>
          <w:kern w:val="0"/>
          <w:sz w:val="32"/>
          <w:szCs w:val="32"/>
          <w:lang w:eastAsia="zh-CN"/>
        </w:rPr>
        <w:t>，</w:t>
      </w:r>
      <w:r>
        <w:rPr>
          <w:rFonts w:eastAsia="仿宋_GB2312"/>
          <w:snapToGrid w:val="0"/>
          <w:color w:val="auto"/>
          <w:kern w:val="0"/>
          <w:sz w:val="32"/>
          <w:szCs w:val="32"/>
        </w:rPr>
        <w:t>露天烧烤控制考评得分=露天烧烤控制工作总分+月度扣分项目分数（扣分项目中每出现一例按规定扣分）。</w:t>
      </w:r>
    </w:p>
    <w:p>
      <w:pPr>
        <w:numPr>
          <w:ilvl w:val="-1"/>
          <w:numId w:val="0"/>
        </w:numPr>
        <w:adjustRightInd w:val="0"/>
        <w:snapToGrid w:val="0"/>
        <w:spacing w:line="600" w:lineRule="exact"/>
        <w:ind w:left="0" w:firstLine="622" w:firstLineChars="200"/>
        <w:jc w:val="left"/>
        <w:outlineLvl w:val="1"/>
        <w:rPr>
          <w:rFonts w:hint="eastAsia" w:ascii="黑体" w:hAnsi="黑体" w:eastAsia="黑体" w:cs="黑体"/>
          <w:color w:val="auto"/>
          <w:szCs w:val="32"/>
        </w:rPr>
      </w:pPr>
      <w:r>
        <w:rPr>
          <w:rFonts w:hint="eastAsia" w:ascii="黑体" w:hAnsi="黑体" w:eastAsia="黑体" w:cs="黑体"/>
          <w:color w:val="auto"/>
          <w:szCs w:val="32"/>
          <w:lang w:eastAsia="zh-CN"/>
        </w:rPr>
        <w:t>二、</w:t>
      </w:r>
      <w:r>
        <w:rPr>
          <w:rFonts w:hint="eastAsia" w:ascii="黑体" w:hAnsi="黑体" w:eastAsia="黑体" w:cs="黑体"/>
          <w:color w:val="auto"/>
          <w:szCs w:val="32"/>
        </w:rPr>
        <w:t>年度考评</w:t>
      </w:r>
    </w:p>
    <w:p>
      <w:pPr>
        <w:numPr>
          <w:ilvl w:val="0"/>
          <w:numId w:val="0"/>
        </w:numPr>
        <w:adjustRightInd w:val="0"/>
        <w:snapToGrid w:val="0"/>
        <w:spacing w:line="600" w:lineRule="exact"/>
        <w:ind w:left="720" w:firstLine="0"/>
        <w:jc w:val="left"/>
        <w:outlineLvl w:val="2"/>
        <w:rPr>
          <w:rFonts w:hint="eastAsia" w:ascii="楷体" w:hAnsi="楷体" w:eastAsia="楷体" w:cs="楷体"/>
          <w:color w:val="auto"/>
          <w:szCs w:val="32"/>
        </w:rPr>
      </w:pPr>
      <w:r>
        <w:rPr>
          <w:rFonts w:hint="eastAsia" w:ascii="楷体" w:hAnsi="楷体" w:eastAsia="楷体" w:cs="楷体"/>
          <w:color w:val="auto"/>
          <w:szCs w:val="32"/>
          <w:lang w:eastAsia="zh-CN"/>
        </w:rPr>
        <w:t>（一）</w:t>
      </w:r>
      <w:r>
        <w:rPr>
          <w:rFonts w:hint="eastAsia" w:ascii="楷体" w:hAnsi="楷体" w:eastAsia="楷体" w:cs="楷体"/>
          <w:color w:val="auto"/>
          <w:szCs w:val="32"/>
        </w:rPr>
        <w:t>年度考评得分</w:t>
      </w:r>
    </w:p>
    <w:p>
      <w:pPr>
        <w:adjustRightInd w:val="0"/>
        <w:snapToGrid w:val="0"/>
        <w:spacing w:line="580" w:lineRule="exact"/>
        <w:ind w:firstLine="624"/>
        <w:rPr>
          <w:rFonts w:eastAsia="仿宋_GB2312"/>
          <w:snapToGrid w:val="0"/>
          <w:color w:val="auto"/>
          <w:kern w:val="0"/>
          <w:szCs w:val="32"/>
        </w:rPr>
      </w:pPr>
      <w:r>
        <w:rPr>
          <w:rFonts w:eastAsia="仿宋_GB2312"/>
          <w:snapToGrid w:val="0"/>
          <w:color w:val="auto"/>
          <w:kern w:val="0"/>
          <w:szCs w:val="32"/>
        </w:rPr>
        <w:t>年度考评得分=月度考评得分之和÷实施考评月度之和+加分考评得分。</w:t>
      </w:r>
    </w:p>
    <w:p>
      <w:pPr>
        <w:numPr>
          <w:ilvl w:val="0"/>
          <w:numId w:val="0"/>
        </w:numPr>
        <w:adjustRightInd w:val="0"/>
        <w:snapToGrid w:val="0"/>
        <w:spacing w:line="600" w:lineRule="exact"/>
        <w:ind w:left="720"/>
        <w:jc w:val="left"/>
        <w:outlineLvl w:val="2"/>
        <w:rPr>
          <w:rFonts w:hint="eastAsia" w:ascii="楷体" w:hAnsi="楷体" w:eastAsia="楷体" w:cs="楷体"/>
          <w:color w:val="auto"/>
          <w:szCs w:val="32"/>
        </w:rPr>
      </w:pPr>
      <w:r>
        <w:rPr>
          <w:rFonts w:hint="eastAsia" w:ascii="楷体" w:hAnsi="楷体" w:eastAsia="楷体" w:cs="楷体"/>
          <w:color w:val="auto"/>
          <w:szCs w:val="32"/>
          <w:lang w:eastAsia="zh-CN"/>
        </w:rPr>
        <w:t>（二）</w:t>
      </w:r>
      <w:r>
        <w:rPr>
          <w:rFonts w:hint="eastAsia" w:ascii="楷体" w:hAnsi="楷体" w:eastAsia="楷体" w:cs="楷体"/>
          <w:color w:val="auto"/>
          <w:szCs w:val="32"/>
        </w:rPr>
        <w:t>加分考评得分</w:t>
      </w:r>
    </w:p>
    <w:p>
      <w:pPr>
        <w:adjustRightInd w:val="0"/>
        <w:snapToGrid w:val="0"/>
        <w:spacing w:line="580" w:lineRule="exact"/>
        <w:ind w:firstLine="622" w:firstLineChars="200"/>
        <w:rPr>
          <w:rFonts w:eastAsia="仿宋_GB2312"/>
          <w:color w:val="auto"/>
          <w:szCs w:val="32"/>
        </w:rPr>
      </w:pPr>
      <w:r>
        <w:rPr>
          <w:rFonts w:hint="eastAsia" w:eastAsia="仿宋_GB2312"/>
          <w:snapToGrid w:val="0"/>
          <w:color w:val="auto"/>
          <w:kern w:val="0"/>
          <w:szCs w:val="32"/>
          <w:lang w:val="en-US" w:eastAsia="zh-CN"/>
        </w:rPr>
        <w:t>1.</w:t>
      </w:r>
      <w:r>
        <w:rPr>
          <w:rFonts w:eastAsia="仿宋_GB2312"/>
          <w:snapToGrid w:val="0"/>
          <w:color w:val="auto"/>
          <w:kern w:val="0"/>
          <w:szCs w:val="32"/>
        </w:rPr>
        <w:t>本年度相关县区在城市治理、重大活动、迎检工作、城市管理重点工作中成绩突出的，</w:t>
      </w:r>
      <w:r>
        <w:rPr>
          <w:rFonts w:eastAsia="仿宋_GB2312"/>
          <w:color w:val="auto"/>
          <w:szCs w:val="32"/>
        </w:rPr>
        <w:t>按以下标准予以加分</w:t>
      </w:r>
      <w:r>
        <w:rPr>
          <w:rFonts w:hint="eastAsia" w:eastAsia="仿宋_GB2312"/>
          <w:color w:val="auto"/>
          <w:szCs w:val="32"/>
        </w:rPr>
        <w:t>，此项为年度加分</w:t>
      </w:r>
      <w:r>
        <w:rPr>
          <w:rFonts w:eastAsia="仿宋_GB2312"/>
          <w:color w:val="auto"/>
          <w:szCs w:val="32"/>
        </w:rPr>
        <w:t>：</w:t>
      </w:r>
    </w:p>
    <w:p>
      <w:pPr>
        <w:adjustRightInd w:val="0"/>
        <w:snapToGrid w:val="0"/>
        <w:spacing w:line="580" w:lineRule="exact"/>
        <w:ind w:firstLine="624"/>
        <w:rPr>
          <w:rFonts w:eastAsia="仿宋_GB2312"/>
          <w:snapToGrid w:val="0"/>
          <w:color w:val="auto"/>
          <w:kern w:val="0"/>
          <w:szCs w:val="32"/>
        </w:rPr>
      </w:pPr>
    </w:p>
    <w:tbl>
      <w:tblPr>
        <w:tblStyle w:val="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3661"/>
        <w:gridCol w:w="22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tcPr>
          <w:p>
            <w:pPr>
              <w:adjustRightInd w:val="0"/>
              <w:snapToGrid w:val="0"/>
              <w:spacing w:line="580" w:lineRule="exact"/>
              <w:rPr>
                <w:rFonts w:eastAsia="仿宋_GB2312"/>
                <w:snapToGrid w:val="0"/>
                <w:color w:val="auto"/>
                <w:kern w:val="0"/>
                <w:szCs w:val="32"/>
              </w:rPr>
            </w:pPr>
            <w:r>
              <w:rPr>
                <w:rFonts w:eastAsia="仿宋_GB2312"/>
                <w:snapToGrid w:val="0"/>
                <w:color w:val="auto"/>
                <w:kern w:val="0"/>
                <w:szCs w:val="32"/>
              </w:rPr>
              <w:t>序号</w:t>
            </w:r>
          </w:p>
        </w:tc>
        <w:tc>
          <w:tcPr>
            <w:tcW w:w="3661" w:type="dxa"/>
          </w:tcPr>
          <w:p>
            <w:pPr>
              <w:adjustRightInd w:val="0"/>
              <w:snapToGrid w:val="0"/>
              <w:spacing w:line="580" w:lineRule="exact"/>
              <w:jc w:val="center"/>
              <w:rPr>
                <w:rFonts w:eastAsia="仿宋_GB2312"/>
                <w:snapToGrid w:val="0"/>
                <w:color w:val="auto"/>
                <w:kern w:val="0"/>
                <w:szCs w:val="32"/>
              </w:rPr>
            </w:pPr>
            <w:r>
              <w:rPr>
                <w:rFonts w:eastAsia="仿宋_GB2312"/>
                <w:snapToGrid w:val="0"/>
                <w:color w:val="auto"/>
                <w:kern w:val="0"/>
                <w:szCs w:val="32"/>
              </w:rPr>
              <w:t>项目</w:t>
            </w:r>
          </w:p>
        </w:tc>
        <w:tc>
          <w:tcPr>
            <w:tcW w:w="2260" w:type="dxa"/>
          </w:tcPr>
          <w:p>
            <w:pPr>
              <w:adjustRightInd w:val="0"/>
              <w:snapToGrid w:val="0"/>
              <w:spacing w:line="580" w:lineRule="exact"/>
              <w:jc w:val="center"/>
              <w:rPr>
                <w:rFonts w:eastAsia="仿宋_GB2312"/>
                <w:snapToGrid w:val="0"/>
                <w:color w:val="auto"/>
                <w:kern w:val="0"/>
                <w:szCs w:val="32"/>
              </w:rPr>
            </w:pPr>
            <w:r>
              <w:rPr>
                <w:rFonts w:eastAsia="仿宋_GB2312"/>
                <w:snapToGrid w:val="0"/>
                <w:color w:val="auto"/>
                <w:kern w:val="0"/>
                <w:szCs w:val="32"/>
              </w:rPr>
              <w:t>增加分数</w:t>
            </w:r>
          </w:p>
        </w:tc>
        <w:tc>
          <w:tcPr>
            <w:tcW w:w="2268" w:type="dxa"/>
          </w:tcPr>
          <w:p>
            <w:pPr>
              <w:adjustRightInd w:val="0"/>
              <w:snapToGrid w:val="0"/>
              <w:spacing w:line="580" w:lineRule="exact"/>
              <w:jc w:val="center"/>
              <w:rPr>
                <w:rFonts w:eastAsia="仿宋_GB2312"/>
                <w:snapToGrid w:val="0"/>
                <w:color w:val="auto"/>
                <w:kern w:val="0"/>
                <w:szCs w:val="32"/>
              </w:rPr>
            </w:pPr>
            <w:r>
              <w:rPr>
                <w:rFonts w:eastAsia="仿宋_GB2312"/>
                <w:snapToGrid w:val="0"/>
                <w:color w:val="auto"/>
                <w:kern w:val="0"/>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pPr>
              <w:adjustRightInd w:val="0"/>
              <w:snapToGrid w:val="0"/>
              <w:jc w:val="center"/>
              <w:rPr>
                <w:rFonts w:eastAsia="仿宋_GB2312"/>
                <w:snapToGrid w:val="0"/>
                <w:color w:val="auto"/>
                <w:kern w:val="0"/>
                <w:szCs w:val="32"/>
              </w:rPr>
            </w:pPr>
            <w:r>
              <w:rPr>
                <w:rFonts w:eastAsia="仿宋_GB2312"/>
                <w:snapToGrid w:val="0"/>
                <w:color w:val="auto"/>
                <w:kern w:val="0"/>
                <w:szCs w:val="32"/>
              </w:rPr>
              <w:t>1</w:t>
            </w:r>
          </w:p>
        </w:tc>
        <w:tc>
          <w:tcPr>
            <w:tcW w:w="3661" w:type="dxa"/>
          </w:tcPr>
          <w:p>
            <w:pPr>
              <w:adjustRightInd w:val="0"/>
              <w:snapToGrid w:val="0"/>
              <w:rPr>
                <w:rFonts w:eastAsia="仿宋_GB2312"/>
                <w:snapToGrid w:val="0"/>
                <w:color w:val="auto"/>
                <w:kern w:val="0"/>
                <w:szCs w:val="32"/>
              </w:rPr>
            </w:pPr>
            <w:r>
              <w:rPr>
                <w:rFonts w:eastAsia="仿宋_GB2312"/>
                <w:snapToGrid w:val="0"/>
                <w:color w:val="auto"/>
                <w:kern w:val="0"/>
                <w:szCs w:val="32"/>
              </w:rPr>
              <w:t>获得国家部委（含副部级）、自治区（党委、人大、政府、政协）主要领导签字明确予以表扬的</w:t>
            </w:r>
          </w:p>
        </w:tc>
        <w:tc>
          <w:tcPr>
            <w:tcW w:w="2260" w:type="dxa"/>
          </w:tcPr>
          <w:p>
            <w:pPr>
              <w:adjustRightInd w:val="0"/>
              <w:snapToGrid w:val="0"/>
              <w:rPr>
                <w:rFonts w:eastAsia="仿宋_GB2312"/>
                <w:snapToGrid w:val="0"/>
                <w:color w:val="auto"/>
                <w:kern w:val="0"/>
                <w:szCs w:val="32"/>
              </w:rPr>
            </w:pPr>
            <w:r>
              <w:rPr>
                <w:rFonts w:eastAsia="仿宋_GB2312"/>
                <w:snapToGrid w:val="0"/>
                <w:color w:val="auto"/>
                <w:kern w:val="0"/>
                <w:szCs w:val="32"/>
              </w:rPr>
              <w:t>每次加0.6分</w:t>
            </w:r>
          </w:p>
        </w:tc>
        <w:tc>
          <w:tcPr>
            <w:tcW w:w="2268" w:type="dxa"/>
            <w:vMerge w:val="restart"/>
          </w:tcPr>
          <w:p>
            <w:pPr>
              <w:adjustRightInd w:val="0"/>
              <w:snapToGrid w:val="0"/>
              <w:spacing w:line="580" w:lineRule="exact"/>
              <w:rPr>
                <w:rFonts w:eastAsia="仿宋_GB2312"/>
                <w:snapToGrid w:val="0"/>
                <w:color w:val="auto"/>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pPr>
              <w:adjustRightInd w:val="0"/>
              <w:snapToGrid w:val="0"/>
              <w:jc w:val="center"/>
              <w:rPr>
                <w:rFonts w:eastAsia="仿宋_GB2312"/>
                <w:snapToGrid w:val="0"/>
                <w:color w:val="auto"/>
                <w:kern w:val="0"/>
                <w:szCs w:val="32"/>
              </w:rPr>
            </w:pPr>
            <w:r>
              <w:rPr>
                <w:rFonts w:eastAsia="仿宋_GB2312"/>
                <w:snapToGrid w:val="0"/>
                <w:color w:val="auto"/>
                <w:kern w:val="0"/>
                <w:szCs w:val="32"/>
              </w:rPr>
              <w:t>2</w:t>
            </w:r>
          </w:p>
        </w:tc>
        <w:tc>
          <w:tcPr>
            <w:tcW w:w="3661" w:type="dxa"/>
          </w:tcPr>
          <w:p>
            <w:pPr>
              <w:adjustRightInd w:val="0"/>
              <w:snapToGrid w:val="0"/>
              <w:rPr>
                <w:rFonts w:eastAsia="仿宋_GB2312"/>
                <w:snapToGrid w:val="0"/>
                <w:color w:val="auto"/>
                <w:kern w:val="0"/>
                <w:szCs w:val="32"/>
              </w:rPr>
            </w:pPr>
            <w:r>
              <w:rPr>
                <w:rFonts w:eastAsia="仿宋_GB2312"/>
                <w:snapToGrid w:val="0"/>
                <w:color w:val="auto"/>
                <w:kern w:val="0"/>
                <w:szCs w:val="32"/>
              </w:rPr>
              <w:t>获得国家部委（含副部级）、自治区（党委、人大、政府、政协）领导班子其他领导签字明确予以肯定表扬的</w:t>
            </w:r>
          </w:p>
        </w:tc>
        <w:tc>
          <w:tcPr>
            <w:tcW w:w="2260" w:type="dxa"/>
          </w:tcPr>
          <w:p>
            <w:pPr>
              <w:adjustRightInd w:val="0"/>
              <w:snapToGrid w:val="0"/>
              <w:rPr>
                <w:rFonts w:eastAsia="仿宋_GB2312"/>
                <w:snapToGrid w:val="0"/>
                <w:color w:val="auto"/>
                <w:kern w:val="0"/>
                <w:szCs w:val="32"/>
              </w:rPr>
            </w:pPr>
            <w:r>
              <w:rPr>
                <w:rFonts w:eastAsia="仿宋_GB2312"/>
                <w:snapToGrid w:val="0"/>
                <w:color w:val="auto"/>
                <w:kern w:val="0"/>
                <w:szCs w:val="32"/>
              </w:rPr>
              <w:t>每次加0.3分</w:t>
            </w:r>
          </w:p>
        </w:tc>
        <w:tc>
          <w:tcPr>
            <w:tcW w:w="2268" w:type="dxa"/>
            <w:vMerge w:val="continue"/>
          </w:tcPr>
          <w:p>
            <w:pPr>
              <w:adjustRightInd w:val="0"/>
              <w:snapToGrid w:val="0"/>
              <w:spacing w:line="580" w:lineRule="exact"/>
              <w:rPr>
                <w:rFonts w:eastAsia="仿宋_GB2312"/>
                <w:snapToGrid w:val="0"/>
                <w:color w:val="auto"/>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1" w:type="dxa"/>
            <w:vAlign w:val="center"/>
          </w:tcPr>
          <w:p>
            <w:pPr>
              <w:adjustRightInd w:val="0"/>
              <w:snapToGrid w:val="0"/>
              <w:jc w:val="center"/>
              <w:rPr>
                <w:rFonts w:eastAsia="仿宋_GB2312"/>
                <w:snapToGrid w:val="0"/>
                <w:color w:val="auto"/>
                <w:kern w:val="0"/>
                <w:szCs w:val="32"/>
              </w:rPr>
            </w:pPr>
            <w:r>
              <w:rPr>
                <w:rFonts w:eastAsia="仿宋_GB2312"/>
                <w:snapToGrid w:val="0"/>
                <w:color w:val="auto"/>
                <w:kern w:val="0"/>
                <w:szCs w:val="32"/>
              </w:rPr>
              <w:t>3</w:t>
            </w:r>
          </w:p>
        </w:tc>
        <w:tc>
          <w:tcPr>
            <w:tcW w:w="3661" w:type="dxa"/>
          </w:tcPr>
          <w:p>
            <w:pPr>
              <w:adjustRightInd w:val="0"/>
              <w:snapToGrid w:val="0"/>
              <w:rPr>
                <w:rFonts w:eastAsia="仿宋_GB2312"/>
                <w:snapToGrid w:val="0"/>
                <w:color w:val="auto"/>
                <w:kern w:val="0"/>
                <w:szCs w:val="32"/>
              </w:rPr>
            </w:pPr>
            <w:r>
              <w:rPr>
                <w:rFonts w:eastAsia="仿宋_GB2312"/>
                <w:snapToGrid w:val="0"/>
                <w:color w:val="auto"/>
                <w:kern w:val="0"/>
                <w:szCs w:val="32"/>
              </w:rPr>
              <w:t>获得市委、市政府主要领导签字明确予以肯定表扬的</w:t>
            </w:r>
          </w:p>
        </w:tc>
        <w:tc>
          <w:tcPr>
            <w:tcW w:w="2260" w:type="dxa"/>
          </w:tcPr>
          <w:p>
            <w:pPr>
              <w:adjustRightInd w:val="0"/>
              <w:snapToGrid w:val="0"/>
              <w:rPr>
                <w:rFonts w:eastAsia="仿宋_GB2312"/>
                <w:snapToGrid w:val="0"/>
                <w:color w:val="auto"/>
                <w:kern w:val="0"/>
                <w:szCs w:val="32"/>
              </w:rPr>
            </w:pPr>
            <w:r>
              <w:rPr>
                <w:rFonts w:eastAsia="仿宋_GB2312"/>
                <w:snapToGrid w:val="0"/>
                <w:color w:val="auto"/>
                <w:kern w:val="0"/>
                <w:szCs w:val="32"/>
              </w:rPr>
              <w:t>每次加0.2分</w:t>
            </w:r>
          </w:p>
        </w:tc>
        <w:tc>
          <w:tcPr>
            <w:tcW w:w="2268" w:type="dxa"/>
            <w:vMerge w:val="continue"/>
          </w:tcPr>
          <w:p>
            <w:pPr>
              <w:adjustRightInd w:val="0"/>
              <w:snapToGrid w:val="0"/>
              <w:spacing w:line="580" w:lineRule="exact"/>
              <w:rPr>
                <w:rFonts w:eastAsia="仿宋_GB2312"/>
                <w:snapToGrid w:val="0"/>
                <w:color w:val="auto"/>
                <w:kern w:val="0"/>
                <w:szCs w:val="32"/>
              </w:rPr>
            </w:pPr>
          </w:p>
        </w:tc>
      </w:tr>
    </w:tbl>
    <w:p>
      <w:pPr>
        <w:pStyle w:val="2"/>
        <w:rPr>
          <w:color w:val="auto"/>
        </w:rPr>
      </w:pPr>
    </w:p>
    <w:p>
      <w:pPr>
        <w:pStyle w:val="2"/>
        <w:rPr>
          <w:color w:val="auto"/>
        </w:rPr>
      </w:pPr>
    </w:p>
    <w:p>
      <w:pPr>
        <w:numPr>
          <w:ilvl w:val="0"/>
          <w:numId w:val="0"/>
        </w:numPr>
        <w:adjustRightInd w:val="0"/>
        <w:snapToGrid w:val="0"/>
        <w:spacing w:line="580" w:lineRule="exact"/>
        <w:ind w:firstLine="622" w:firstLineChars="200"/>
        <w:rPr>
          <w:rFonts w:eastAsia="黑体"/>
          <w:color w:val="auto"/>
          <w:szCs w:val="32"/>
        </w:rPr>
      </w:pPr>
      <w:r>
        <w:rPr>
          <w:rFonts w:hint="default" w:ascii="Times New Roman" w:hAnsi="Times New Roman" w:eastAsia="仿宋_GB2312" w:cs="Times New Roman"/>
          <w:snapToGrid w:val="0"/>
          <w:color w:val="auto"/>
          <w:kern w:val="0"/>
          <w:sz w:val="32"/>
          <w:szCs w:val="32"/>
          <w:highlight w:val="none"/>
          <w:lang w:val="en-US" w:eastAsia="zh-CN"/>
        </w:rPr>
        <w:t>2.两县六区在年终时，每完成1个20万立方米（含）以上的建筑垃圾消纳场的或单个建筑垃圾消纳场所消纳能力每增加20万立方米（含）以上的加0.1分，最多加0.3分。</w:t>
      </w:r>
    </w:p>
    <w:p>
      <w:pPr>
        <w:adjustRightInd w:val="0"/>
        <w:snapToGrid w:val="0"/>
        <w:spacing w:line="600" w:lineRule="exact"/>
        <w:ind w:firstLine="622" w:firstLineChars="200"/>
        <w:jc w:val="center"/>
        <w:outlineLvl w:val="0"/>
        <w:rPr>
          <w:rFonts w:hint="eastAsia" w:ascii="黑体" w:hAnsi="黑体" w:eastAsia="黑体" w:cs="黑体"/>
          <w:color w:val="auto"/>
          <w:szCs w:val="32"/>
        </w:rPr>
      </w:pPr>
      <w:r>
        <w:rPr>
          <w:rFonts w:hint="eastAsia" w:ascii="黑体" w:hAnsi="黑体" w:eastAsia="黑体" w:cs="黑体"/>
          <w:color w:val="auto"/>
          <w:szCs w:val="32"/>
        </w:rPr>
        <w:t>第二部分 市直部门、中（区）直单位城市管理绩效考评细则</w:t>
      </w:r>
    </w:p>
    <w:p>
      <w:pPr>
        <w:adjustRightInd w:val="0"/>
        <w:snapToGrid w:val="0"/>
        <w:spacing w:line="600" w:lineRule="exact"/>
        <w:ind w:firstLine="622" w:firstLineChars="200"/>
        <w:rPr>
          <w:rFonts w:eastAsia="仿宋_GB2312"/>
          <w:color w:val="auto"/>
          <w:szCs w:val="32"/>
        </w:rPr>
      </w:pPr>
      <w:r>
        <w:rPr>
          <w:rFonts w:eastAsia="仿宋_GB2312"/>
          <w:color w:val="auto"/>
          <w:szCs w:val="32"/>
        </w:rPr>
        <w:t>市直、中（区）直单位城市管理月度考评、年度考评以及加分考评组成，实行百分制。</w:t>
      </w:r>
    </w:p>
    <w:p>
      <w:pPr>
        <w:numPr>
          <w:ilvl w:val="-1"/>
          <w:numId w:val="0"/>
        </w:numPr>
        <w:adjustRightInd w:val="0"/>
        <w:snapToGrid w:val="0"/>
        <w:spacing w:line="600" w:lineRule="exact"/>
        <w:ind w:left="0" w:firstLine="622" w:firstLineChars="200"/>
        <w:jc w:val="left"/>
        <w:outlineLvl w:val="1"/>
        <w:rPr>
          <w:rFonts w:hint="eastAsia" w:ascii="黑体" w:hAnsi="黑体" w:eastAsia="黑体" w:cs="黑体"/>
          <w:color w:val="auto"/>
          <w:szCs w:val="32"/>
        </w:rPr>
      </w:pPr>
      <w:r>
        <w:rPr>
          <w:rFonts w:hint="eastAsia" w:ascii="黑体" w:hAnsi="黑体" w:eastAsia="黑体" w:cs="黑体"/>
          <w:color w:val="auto"/>
          <w:szCs w:val="32"/>
        </w:rPr>
        <w:t>一、月度考评</w:t>
      </w:r>
    </w:p>
    <w:p>
      <w:pPr>
        <w:adjustRightInd w:val="0"/>
        <w:snapToGrid w:val="0"/>
        <w:spacing w:line="580" w:lineRule="exact"/>
        <w:ind w:firstLine="622" w:firstLineChars="200"/>
        <w:rPr>
          <w:rFonts w:eastAsia="仿宋_GB2312"/>
          <w:snapToGrid w:val="0"/>
          <w:color w:val="auto"/>
          <w:kern w:val="0"/>
          <w:szCs w:val="32"/>
        </w:rPr>
      </w:pPr>
      <w:r>
        <w:rPr>
          <w:rFonts w:eastAsia="仿宋_GB2312"/>
          <w:snapToGrid w:val="0"/>
          <w:color w:val="auto"/>
          <w:kern w:val="0"/>
          <w:szCs w:val="32"/>
        </w:rPr>
        <w:t>由市城市管理信息中心对</w:t>
      </w:r>
      <w:r>
        <w:rPr>
          <w:rFonts w:eastAsia="仿宋_GB2312"/>
          <w:color w:val="auto"/>
          <w:szCs w:val="32"/>
        </w:rPr>
        <w:t>市直、中（区）直单位的</w:t>
      </w:r>
      <w:r>
        <w:rPr>
          <w:rFonts w:eastAsia="仿宋_GB2312"/>
          <w:snapToGrid w:val="0"/>
          <w:color w:val="auto"/>
          <w:kern w:val="0"/>
          <w:szCs w:val="32"/>
        </w:rPr>
        <w:t>城市管理日常工作进行数字化考核、评分，计分后上报市城市管理领导小组办公室，考核周期统计时间为上月25日24时起至当月26日0时止。月度考评得分＝处置率得分（70分）+一次完成率得分（20分）+督办整改率得分（5分）+挂账整改率得分（5分）+月度加分项目分数+月度扣分项目分数（扣分项目中每出现一例按规定扣分）。具体计算公式：</w:t>
      </w:r>
    </w:p>
    <w:p>
      <w:pPr>
        <w:numPr>
          <w:ilvl w:val="0"/>
          <w:numId w:val="0"/>
        </w:numPr>
        <w:adjustRightInd w:val="0"/>
        <w:snapToGrid w:val="0"/>
        <w:spacing w:line="600" w:lineRule="exact"/>
        <w:ind w:left="720" w:firstLine="0" w:firstLineChars="0"/>
        <w:jc w:val="left"/>
        <w:outlineLvl w:val="2"/>
        <w:rPr>
          <w:rFonts w:hint="eastAsia" w:ascii="楷体" w:hAnsi="楷体" w:eastAsia="楷体" w:cs="楷体"/>
          <w:snapToGrid/>
          <w:color w:val="auto"/>
          <w:kern w:val="2"/>
          <w:szCs w:val="32"/>
        </w:rPr>
      </w:pPr>
      <w:r>
        <w:rPr>
          <w:rFonts w:hint="eastAsia" w:ascii="楷体" w:hAnsi="楷体" w:eastAsia="楷体" w:cs="楷体"/>
          <w:color w:val="auto"/>
          <w:szCs w:val="32"/>
        </w:rPr>
        <w:t>（一）处置率得分（</w:t>
      </w:r>
      <w:r>
        <w:rPr>
          <w:rFonts w:hint="default" w:eastAsia="楷体"/>
          <w:color w:val="auto"/>
          <w:szCs w:val="32"/>
        </w:rPr>
        <w:t>70</w:t>
      </w:r>
      <w:r>
        <w:rPr>
          <w:rFonts w:hint="eastAsia" w:ascii="楷体" w:hAnsi="楷体" w:eastAsia="楷体" w:cs="楷体"/>
          <w:color w:val="auto"/>
          <w:szCs w:val="32"/>
        </w:rPr>
        <w:t>分）</w:t>
      </w:r>
    </w:p>
    <w:p>
      <w:pPr>
        <w:adjustRightInd w:val="0"/>
        <w:snapToGrid w:val="0"/>
        <w:spacing w:line="600" w:lineRule="exact"/>
        <w:ind w:firstLine="622" w:firstLineChars="200"/>
        <w:rPr>
          <w:rFonts w:eastAsia="仿宋_GB2312"/>
          <w:strike/>
          <w:color w:val="auto"/>
          <w:szCs w:val="32"/>
        </w:rPr>
      </w:pPr>
      <w:r>
        <w:rPr>
          <w:rFonts w:eastAsia="仿宋_GB2312"/>
          <w:color w:val="auto"/>
          <w:szCs w:val="32"/>
        </w:rPr>
        <w:t>处置率是根据按时处置率、超时处置率占比赋分。</w:t>
      </w:r>
    </w:p>
    <w:p>
      <w:pPr>
        <w:adjustRightInd w:val="0"/>
        <w:snapToGrid w:val="0"/>
        <w:spacing w:line="600" w:lineRule="exact"/>
        <w:ind w:firstLine="622" w:firstLineChars="200"/>
        <w:rPr>
          <w:rFonts w:eastAsia="仿宋_GB2312"/>
          <w:strike/>
          <w:color w:val="auto"/>
          <w:szCs w:val="32"/>
        </w:rPr>
      </w:pPr>
      <w:r>
        <w:rPr>
          <w:rFonts w:eastAsia="仿宋_GB2312"/>
          <w:color w:val="auto"/>
          <w:szCs w:val="32"/>
        </w:rPr>
        <w:t>具体计算公式：</w:t>
      </w:r>
    </w:p>
    <w:p>
      <w:pPr>
        <w:adjustRightInd w:val="0"/>
        <w:snapToGrid w:val="0"/>
        <w:spacing w:line="720" w:lineRule="exact"/>
        <w:ind w:firstLine="462" w:firstLineChars="200"/>
        <w:rPr>
          <w:ins w:id="3" w:author="1273093281qqcom" w:date="2023-09-11T10:42:28Z"/>
          <w:rFonts w:hAnsi="DejaVu Math TeX Gyre" w:eastAsia="仿宋_GB2312" w:cs="Cambria Math"/>
          <w:b w:val="0"/>
          <w:i w:val="0"/>
          <w:color w:val="auto"/>
          <w:sz w:val="24"/>
        </w:rPr>
      </w:pPr>
      <m:oMathPara>
        <m:oMath>
          <m:r>
            <m:rPr>
              <m:sty m:val="p"/>
            </m:rPr>
            <w:rPr>
              <w:rFonts w:ascii="DejaVu Math TeX Gyre" w:hAnsi="DejaVu Math TeX Gyre" w:eastAsia="仿宋_GB2312" w:cs="Cambria Math"/>
              <w:color w:val="auto"/>
              <w:sz w:val="24"/>
            </w:rPr>
            <m:t>处置率得分=</m:t>
          </m:r>
          <m:d>
            <m:dPr>
              <m:begChr m:val="（"/>
              <m:endChr m:val="）"/>
              <m:ctrlPr>
                <w:rPr>
                  <w:rFonts w:ascii="Cambria Math" w:hAnsi="Cambria Math" w:eastAsia="仿宋_GB2312" w:cs="Cambria Math"/>
                  <w:color w:val="auto"/>
                  <w:sz w:val="24"/>
                </w:rPr>
              </m:ctrlPr>
            </m:dPr>
            <m:e>
              <m:f>
                <m:fPr>
                  <m:ctrlPr>
                    <w:rPr>
                      <w:rFonts w:ascii="Cambria Math" w:hAnsi="Cambria Math" w:eastAsia="仿宋_GB2312" w:cs="Cambria Math"/>
                      <w:color w:val="auto"/>
                      <w:sz w:val="24"/>
                    </w:rPr>
                  </m:ctrlPr>
                </m:fPr>
                <m:num>
                  <m:r>
                    <m:rPr>
                      <m:sty m:val="p"/>
                    </m:rPr>
                    <w:rPr>
                      <w:rFonts w:ascii="DejaVu Math TeX Gyre" w:hAnsi="DejaVu Math TeX Gyre" w:eastAsia="仿宋_GB2312" w:cs="Cambria Math"/>
                      <w:color w:val="auto"/>
                      <w:sz w:val="24"/>
                    </w:rPr>
                    <m:t>按时处置数×1+超时处置数×0.8</m:t>
                  </m:r>
                  <m:ctrlPr>
                    <w:rPr>
                      <w:rFonts w:ascii="Cambria Math" w:hAnsi="Cambria Math" w:eastAsia="仿宋_GB2312" w:cs="Cambria Math"/>
                      <w:color w:val="auto"/>
                      <w:sz w:val="24"/>
                    </w:rPr>
                  </m:ctrlPr>
                </m:num>
                <m:den>
                  <m:r>
                    <m:rPr>
                      <m:sty m:val="p"/>
                    </m:rPr>
                    <w:rPr>
                      <w:rFonts w:ascii="DejaVu Math TeX Gyre" w:hAnsi="DejaVu Math TeX Gyre" w:eastAsia="仿宋_GB2312" w:cs="Cambria Math"/>
                      <w:color w:val="auto"/>
                      <w:sz w:val="24"/>
                    </w:rPr>
                    <m:t>应处置数</m:t>
                  </m:r>
                  <m:ctrlPr>
                    <w:rPr>
                      <w:rFonts w:ascii="Cambria Math" w:hAnsi="Cambria Math" w:eastAsia="仿宋_GB2312" w:cs="Cambria Math"/>
                      <w:color w:val="auto"/>
                      <w:sz w:val="24"/>
                    </w:rPr>
                  </m:ctrlPr>
                </m:den>
              </m:f>
              <m:ctrlPr>
                <w:rPr>
                  <w:rFonts w:ascii="Cambria Math" w:hAnsi="Cambria Math" w:eastAsia="仿宋_GB2312" w:cs="Cambria Math"/>
                  <w:color w:val="auto"/>
                  <w:sz w:val="24"/>
                </w:rPr>
              </m:ctrlPr>
            </m:e>
          </m:d>
          <m:r>
            <m:rPr>
              <m:sty m:val="p"/>
            </m:rPr>
            <w:rPr>
              <w:rFonts w:ascii="DejaVu Math TeX Gyre" w:hAnsi="DejaVu Math TeX Gyre" w:eastAsia="仿宋_GB2312" w:cs="Cambria Math"/>
              <w:color w:val="auto"/>
              <w:sz w:val="24"/>
            </w:rPr>
            <m:t>×70</m:t>
          </m:r>
        </m:oMath>
      </m:oMathPara>
    </w:p>
    <w:p>
      <w:pPr>
        <w:pStyle w:val="2"/>
        <w:rPr>
          <w:ins w:id="4" w:author="1273093281qqcom" w:date="2023-09-11T10:42:24Z"/>
        </w:rPr>
      </w:pPr>
    </w:p>
    <w:p>
      <w:pPr>
        <w:pStyle w:val="2"/>
      </w:pPr>
    </w:p>
    <w:p>
      <w:pPr>
        <w:numPr>
          <w:ilvl w:val="0"/>
          <w:numId w:val="0"/>
        </w:numPr>
        <w:adjustRightInd w:val="0"/>
        <w:snapToGrid w:val="0"/>
        <w:spacing w:line="600" w:lineRule="exact"/>
        <w:ind w:left="720" w:firstLine="0" w:firstLineChars="0"/>
        <w:jc w:val="left"/>
        <w:outlineLvl w:val="2"/>
        <w:rPr>
          <w:rFonts w:hint="eastAsia" w:ascii="楷体" w:hAnsi="楷体" w:eastAsia="楷体" w:cs="楷体"/>
          <w:color w:val="auto"/>
          <w:szCs w:val="32"/>
        </w:rPr>
      </w:pPr>
      <w:r>
        <w:rPr>
          <w:rFonts w:hint="eastAsia" w:ascii="楷体" w:hAnsi="楷体" w:eastAsia="楷体" w:cs="楷体"/>
          <w:color w:val="auto"/>
          <w:szCs w:val="32"/>
        </w:rPr>
        <w:t>（二）一次完成率得分（</w:t>
      </w:r>
      <w:r>
        <w:rPr>
          <w:rFonts w:hint="default" w:eastAsia="楷体"/>
          <w:color w:val="auto"/>
          <w:szCs w:val="32"/>
        </w:rPr>
        <w:t>20</w:t>
      </w:r>
      <w:r>
        <w:rPr>
          <w:rFonts w:hint="eastAsia" w:ascii="楷体" w:hAnsi="楷体" w:eastAsia="楷体" w:cs="楷体"/>
          <w:color w:val="auto"/>
          <w:szCs w:val="32"/>
        </w:rPr>
        <w:t>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一次完成率是按照某市直部门、中（区）直单位按时完成且不返工、不延期的案卷处置情况在某县区处置数中的占比赋分。具体计算公式：</w:t>
      </w:r>
    </w:p>
    <w:p>
      <w:pPr>
        <w:adjustRightInd w:val="0"/>
        <w:snapToGrid w:val="0"/>
        <w:spacing w:line="720" w:lineRule="exact"/>
        <w:ind w:firstLine="462" w:firstLineChars="200"/>
        <w:rPr>
          <w:ins w:id="5" w:author="1273093281qqcom" w:date="2023-09-11T10:42:27Z"/>
          <w:rFonts w:hAnsi="DejaVu Math TeX Gyre" w:cs="Cambria Math"/>
          <w:b w:val="0"/>
          <w:i w:val="0"/>
          <w:color w:val="auto"/>
          <w:sz w:val="24"/>
        </w:rPr>
      </w:pPr>
      <m:oMathPara>
        <m:oMath>
          <m:r>
            <m:rPr>
              <m:sty m:val="p"/>
            </m:rPr>
            <w:rPr>
              <w:rFonts w:ascii="DejaVu Math TeX Gyre" w:hAnsi="DejaVu Math TeX Gyre" w:eastAsia="仿宋_GB2312" w:cs="Cambria Math"/>
              <w:color w:val="auto"/>
              <w:sz w:val="24"/>
            </w:rPr>
            <m:t>一次完成率得分</m:t>
          </m:r>
          <m:r>
            <m:rPr>
              <m:sty m:val="p"/>
            </m:rPr>
            <w:rPr>
              <w:rFonts w:ascii="DejaVu Math TeX Gyre" w:hAnsi="DejaVu Math TeX Gyre" w:eastAsia="黑体" w:cs="Cambria Math"/>
              <w:color w:val="auto"/>
              <w:sz w:val="24"/>
            </w:rPr>
            <m:t>=</m:t>
          </m:r>
          <m:d>
            <m:dPr>
              <m:ctrlPr>
                <w:rPr>
                  <w:rFonts w:ascii="Cambria Math" w:hAnsi="Cambria Math" w:eastAsia="黑体" w:cs="Cambria Math"/>
                  <w:color w:val="auto"/>
                  <w:sz w:val="24"/>
                </w:rPr>
              </m:ctrlPr>
            </m:dPr>
            <m:e>
              <m:r>
                <m:rPr>
                  <m:sty m:val="p"/>
                </m:rPr>
                <w:rPr>
                  <w:rFonts w:ascii="DejaVu Math TeX Gyre" w:hAnsi="DejaVu Math TeX Gyre" w:eastAsia="黑体" w:cs="Cambria Math"/>
                  <w:color w:val="auto"/>
                  <w:sz w:val="24"/>
                </w:rPr>
                <m:t>1−</m:t>
              </m:r>
              <m:f>
                <m:fPr>
                  <m:ctrlPr>
                    <w:rPr>
                      <w:rFonts w:ascii="Cambria Math" w:hAnsi="Cambria Math" w:eastAsia="仿宋_GB2312" w:cs="Cambria Math"/>
                      <w:color w:val="auto"/>
                      <w:sz w:val="24"/>
                    </w:rPr>
                  </m:ctrlPr>
                </m:fPr>
                <m:num>
                  <m:r>
                    <m:rPr>
                      <m:sty m:val="p"/>
                    </m:rPr>
                    <w:rPr>
                      <w:rFonts w:ascii="DejaVu Math TeX Gyre" w:hAnsi="DejaVu Math TeX Gyre" w:eastAsia="仿宋_GB2312" w:cs="Cambria Math"/>
                      <w:color w:val="auto"/>
                      <w:sz w:val="24"/>
                    </w:rPr>
                    <m:t>返工数+延期数</m:t>
                  </m:r>
                  <m:ctrlPr>
                    <w:rPr>
                      <w:rFonts w:ascii="Cambria Math" w:hAnsi="Cambria Math" w:eastAsia="仿宋_GB2312" w:cs="Cambria Math"/>
                      <w:color w:val="auto"/>
                      <w:sz w:val="24"/>
                    </w:rPr>
                  </m:ctrlPr>
                </m:num>
                <m:den>
                  <m:r>
                    <m:rPr>
                      <m:sty m:val="p"/>
                    </m:rPr>
                    <w:rPr>
                      <w:rFonts w:ascii="DejaVu Math TeX Gyre" w:hAnsi="DejaVu Math TeX Gyre" w:eastAsia="仿宋_GB2312" w:cs="Cambria Math"/>
                      <w:color w:val="auto"/>
                      <w:sz w:val="24"/>
                    </w:rPr>
                    <m:t>处置数</m:t>
                  </m:r>
                  <m:ctrlPr>
                    <w:rPr>
                      <w:rFonts w:ascii="Cambria Math" w:hAnsi="Cambria Math" w:eastAsia="仿宋_GB2312" w:cs="Cambria Math"/>
                      <w:color w:val="auto"/>
                      <w:sz w:val="24"/>
                    </w:rPr>
                  </m:ctrlPr>
                </m:den>
              </m:f>
              <m:ctrlPr>
                <w:rPr>
                  <w:rFonts w:ascii="Cambria Math" w:hAnsi="Cambria Math" w:eastAsia="黑体" w:cs="Cambria Math"/>
                  <w:color w:val="auto"/>
                  <w:sz w:val="24"/>
                </w:rPr>
              </m:ctrlPr>
            </m:e>
          </m:d>
          <m:r>
            <m:rPr>
              <m:sty m:val="p"/>
            </m:rPr>
            <w:rPr>
              <w:rFonts w:ascii="DejaVu Math TeX Gyre" w:hAnsi="DejaVu Math TeX Gyre" w:cs="Cambria Math"/>
              <w:color w:val="auto"/>
              <w:sz w:val="24"/>
            </w:rPr>
            <m:t>×20</m:t>
          </m:r>
        </m:oMath>
      </m:oMathPara>
    </w:p>
    <w:p>
      <w:pPr>
        <w:pStyle w:val="2"/>
      </w:pPr>
    </w:p>
    <w:p>
      <w:pPr>
        <w:pStyle w:val="2"/>
        <w:rPr>
          <w:color w:val="auto"/>
        </w:rPr>
      </w:pPr>
    </w:p>
    <w:p>
      <w:pPr>
        <w:numPr>
          <w:ilvl w:val="0"/>
          <w:numId w:val="0"/>
        </w:numPr>
        <w:adjustRightInd w:val="0"/>
        <w:snapToGrid w:val="0"/>
        <w:spacing w:line="600" w:lineRule="exact"/>
        <w:ind w:left="720" w:firstLine="0" w:firstLineChars="0"/>
        <w:jc w:val="left"/>
        <w:outlineLvl w:val="2"/>
        <w:rPr>
          <w:rFonts w:hint="eastAsia" w:ascii="楷体" w:hAnsi="楷体" w:eastAsia="楷体" w:cs="楷体"/>
          <w:color w:val="auto"/>
          <w:szCs w:val="32"/>
        </w:rPr>
      </w:pPr>
      <w:r>
        <w:rPr>
          <w:rFonts w:hint="eastAsia" w:ascii="楷体" w:hAnsi="楷体" w:eastAsia="楷体" w:cs="楷体"/>
          <w:color w:val="auto"/>
          <w:szCs w:val="32"/>
        </w:rPr>
        <w:t>（三）督办整改率得分（</w:t>
      </w:r>
      <w:r>
        <w:rPr>
          <w:rFonts w:hint="default" w:eastAsia="楷体"/>
          <w:color w:val="auto"/>
          <w:szCs w:val="32"/>
        </w:rPr>
        <w:t>5</w:t>
      </w:r>
      <w:r>
        <w:rPr>
          <w:rFonts w:hint="eastAsia" w:ascii="楷体" w:hAnsi="楷体" w:eastAsia="楷体" w:cs="楷体"/>
          <w:color w:val="auto"/>
          <w:szCs w:val="32"/>
        </w:rPr>
        <w:t>分）</w:t>
      </w:r>
    </w:p>
    <w:p>
      <w:pPr>
        <w:adjustRightInd w:val="0"/>
        <w:snapToGrid w:val="0"/>
        <w:spacing w:line="600" w:lineRule="exact"/>
        <w:ind w:firstLine="622" w:firstLineChars="200"/>
        <w:rPr>
          <w:rFonts w:eastAsia="仿宋_GB2312"/>
          <w:strike/>
          <w:color w:val="auto"/>
          <w:szCs w:val="32"/>
        </w:rPr>
      </w:pPr>
      <w:r>
        <w:rPr>
          <w:rFonts w:eastAsia="仿宋_GB2312"/>
          <w:color w:val="auto"/>
          <w:szCs w:val="32"/>
        </w:rPr>
        <w:t>督办整改率指标是指为督促某市直部门、中（区）直单位对本月城市管理督办问题数进行整改。</w:t>
      </w:r>
    </w:p>
    <w:p>
      <w:pPr>
        <w:adjustRightInd w:val="0"/>
        <w:snapToGrid w:val="0"/>
        <w:spacing w:line="600" w:lineRule="exact"/>
        <w:ind w:firstLine="622" w:firstLineChars="200"/>
        <w:rPr>
          <w:rFonts w:eastAsia="仿宋_GB2312"/>
          <w:color w:val="auto"/>
          <w:szCs w:val="32"/>
        </w:rPr>
      </w:pPr>
      <w:r>
        <w:rPr>
          <w:rFonts w:eastAsia="仿宋_GB2312"/>
          <w:color w:val="auto"/>
          <w:szCs w:val="32"/>
        </w:rPr>
        <w:t>具体计算公式：</w:t>
      </w:r>
    </w:p>
    <w:p>
      <w:pPr>
        <w:adjustRightInd w:val="0"/>
        <w:snapToGrid w:val="0"/>
        <w:spacing w:line="720" w:lineRule="exact"/>
        <w:ind w:firstLine="462" w:firstLineChars="200"/>
        <w:rPr>
          <w:rFonts w:ascii="Cambria Math" w:hAnsi="Cambria Math" w:eastAsia="仿宋_GB2312" w:cs="Cambria Math"/>
          <w:color w:val="auto"/>
          <w:sz w:val="24"/>
        </w:rPr>
      </w:pPr>
      <m:oMathPara>
        <m:oMath>
          <m:r>
            <m:rPr>
              <m:sty m:val="p"/>
            </m:rPr>
            <w:rPr>
              <w:rFonts w:ascii="DejaVu Math TeX Gyre" w:hAnsi="DejaVu Math TeX Gyre" w:eastAsia="仿宋_GB2312" w:cs="Cambria Math"/>
              <w:color w:val="auto"/>
              <w:sz w:val="24"/>
            </w:rPr>
            <m:t>督办整改率得分=</m:t>
          </m:r>
          <m:f>
            <m:fPr>
              <m:ctrlPr>
                <w:rPr>
                  <w:rFonts w:ascii="Cambria Math" w:hAnsi="Cambria Math" w:eastAsia="仿宋_GB2312" w:cs="Cambria Math"/>
                  <w:color w:val="auto"/>
                  <w:sz w:val="24"/>
                </w:rPr>
              </m:ctrlPr>
            </m:fPr>
            <m:num>
              <m:r>
                <m:rPr>
                  <m:sty m:val="p"/>
                </m:rPr>
                <w:rPr>
                  <w:rFonts w:ascii="DejaVu Math TeX Gyre" w:hAnsi="DejaVu Math TeX Gyre" w:eastAsia="仿宋_GB2312" w:cs="Cambria Math"/>
                  <w:color w:val="auto"/>
                  <w:sz w:val="24"/>
                </w:rPr>
                <m:t>督办处置数</m:t>
              </m:r>
              <m:ctrlPr>
                <w:rPr>
                  <w:rFonts w:ascii="Cambria Math" w:hAnsi="Cambria Math" w:eastAsia="仿宋_GB2312" w:cs="Cambria Math"/>
                  <w:color w:val="auto"/>
                  <w:sz w:val="24"/>
                </w:rPr>
              </m:ctrlPr>
            </m:num>
            <m:den>
              <m:r>
                <m:rPr>
                  <m:sty m:val="p"/>
                </m:rPr>
                <w:rPr>
                  <w:rFonts w:ascii="DejaVu Math TeX Gyre" w:hAnsi="DejaVu Math TeX Gyre" w:eastAsia="仿宋_GB2312" w:cs="Cambria Math"/>
                  <w:color w:val="auto"/>
                  <w:sz w:val="24"/>
                </w:rPr>
                <m:t>督办问题数</m:t>
              </m:r>
              <m:ctrlPr>
                <w:rPr>
                  <w:rFonts w:ascii="Cambria Math" w:hAnsi="Cambria Math" w:eastAsia="仿宋_GB2312" w:cs="Cambria Math"/>
                  <w:color w:val="auto"/>
                  <w:sz w:val="24"/>
                </w:rPr>
              </m:ctrlPr>
            </m:den>
          </m:f>
          <m:r>
            <m:rPr>
              <m:sty m:val="p"/>
            </m:rPr>
            <w:rPr>
              <w:rFonts w:ascii="DejaVu Math TeX Gyre" w:hAnsi="DejaVu Math TeX Gyre" w:eastAsia="仿宋_GB2312" w:cs="Cambria Math"/>
              <w:color w:val="auto"/>
              <w:sz w:val="24"/>
            </w:rPr>
            <m:t>×5</m:t>
          </m:r>
        </m:oMath>
      </m:oMathPara>
    </w:p>
    <w:p>
      <w:pPr>
        <w:spacing w:line="240" w:lineRule="auto"/>
        <w:ind w:firstLine="0" w:firstLineChars="0"/>
        <w:rPr>
          <w:rFonts w:eastAsia="方正仿宋_GBK"/>
          <w:szCs w:val="24"/>
        </w:rPr>
      </w:pPr>
    </w:p>
    <w:p>
      <w:pPr>
        <w:spacing w:line="240" w:lineRule="auto"/>
        <w:ind w:firstLine="622" w:firstLineChars="200"/>
        <w:rPr>
          <w:rFonts w:eastAsia="方正仿宋_GBK"/>
          <w:szCs w:val="24"/>
        </w:rPr>
      </w:pPr>
      <w:r>
        <w:rPr>
          <w:rFonts w:eastAsia="方正仿宋_GBK"/>
          <w:color w:val="auto"/>
          <w:szCs w:val="24"/>
        </w:rPr>
        <w:t>备注：</w:t>
      </w:r>
      <w:r>
        <w:rPr>
          <w:rFonts w:hint="default" w:eastAsia="方正仿宋_GBK"/>
          <w:color w:val="auto"/>
          <w:szCs w:val="24"/>
          <w:lang w:val="en-US" w:eastAsia="zh-CN"/>
        </w:rPr>
        <w:t>1.</w:t>
      </w:r>
      <w:r>
        <w:rPr>
          <w:rFonts w:eastAsia="方正仿宋_GBK"/>
          <w:color w:val="auto"/>
          <w:szCs w:val="24"/>
        </w:rPr>
        <w:t>本月督办问题数</w:t>
      </w:r>
      <m:oMath>
        <m:r>
          <m:rPr>
            <m:sty m:val="p"/>
          </m:rPr>
          <w:rPr>
            <w:rFonts w:ascii="DejaVu Math TeX Gyre" w:hAnsi="DejaVu Math TeX Gyre" w:eastAsia="方正仿宋_GBK"/>
            <w:color w:val="auto"/>
            <w:szCs w:val="24"/>
          </w:rPr>
          <m:t>=</m:t>
        </m:r>
      </m:oMath>
      <w:r>
        <w:rPr>
          <w:rFonts w:eastAsia="方正仿宋_GBK"/>
          <w:color w:val="auto"/>
          <w:szCs w:val="24"/>
        </w:rPr>
        <w:t>上月超时未处置+上月督办未处置</w:t>
      </w:r>
    </w:p>
    <w:p>
      <w:pPr>
        <w:spacing w:line="240" w:lineRule="auto"/>
        <w:ind w:left="0" w:firstLine="1804" w:firstLineChars="580"/>
        <w:rPr>
          <w:rFonts w:eastAsia="方正仿宋_GBK"/>
          <w:color w:val="auto"/>
          <w:szCs w:val="24"/>
        </w:rPr>
      </w:pPr>
      <w:r>
        <w:rPr>
          <w:rFonts w:eastAsia="方正仿宋_GBK"/>
          <w:color w:val="auto"/>
          <w:szCs w:val="24"/>
        </w:rPr>
        <w:t>数</w:t>
      </w:r>
    </w:p>
    <w:p>
      <w:pPr>
        <w:spacing w:line="240" w:lineRule="auto"/>
        <w:ind w:firstLine="1555" w:firstLineChars="500"/>
        <w:rPr>
          <w:rFonts w:eastAsia="方正仿宋_GBK"/>
          <w:color w:val="auto"/>
          <w:szCs w:val="24"/>
        </w:rPr>
      </w:pPr>
      <w:r>
        <w:rPr>
          <w:rFonts w:hint="default" w:eastAsia="方正仿宋_GBK"/>
          <w:color w:val="auto"/>
          <w:szCs w:val="24"/>
          <w:lang w:val="en-US" w:eastAsia="zh-CN"/>
        </w:rPr>
        <w:t>2.</w:t>
      </w:r>
      <w:r>
        <w:rPr>
          <w:rFonts w:eastAsia="方正仿宋_GBK"/>
          <w:color w:val="auto"/>
          <w:szCs w:val="24"/>
        </w:rPr>
        <w:t>如督办问题数为0时，督办整改率得分为满分。</w:t>
      </w:r>
      <w:r>
        <w:rPr>
          <w:rFonts w:eastAsia="方正仿宋_GBK"/>
          <w:color w:val="auto"/>
          <w:szCs w:val="24"/>
        </w:rPr>
        <w:tab/>
      </w:r>
    </w:p>
    <w:p>
      <w:pPr>
        <w:numPr>
          <w:ilvl w:val="0"/>
          <w:numId w:val="0"/>
        </w:numPr>
        <w:adjustRightInd w:val="0"/>
        <w:snapToGrid w:val="0"/>
        <w:spacing w:line="600" w:lineRule="exact"/>
        <w:ind w:left="720" w:firstLine="0" w:firstLineChars="0"/>
        <w:jc w:val="left"/>
        <w:outlineLvl w:val="2"/>
        <w:rPr>
          <w:rFonts w:hint="eastAsia" w:ascii="楷体" w:hAnsi="楷体" w:eastAsia="楷体" w:cs="楷体"/>
          <w:color w:val="auto"/>
          <w:szCs w:val="32"/>
        </w:rPr>
      </w:pPr>
      <w:r>
        <w:rPr>
          <w:rFonts w:hint="eastAsia" w:ascii="楷体" w:hAnsi="楷体" w:eastAsia="楷体" w:cs="楷体"/>
          <w:color w:val="auto"/>
          <w:szCs w:val="32"/>
        </w:rPr>
        <w:t>（四）挂账整改率得分（</w:t>
      </w:r>
      <w:r>
        <w:rPr>
          <w:rFonts w:hint="default" w:eastAsia="楷体"/>
          <w:color w:val="auto"/>
          <w:szCs w:val="32"/>
        </w:rPr>
        <w:t>5</w:t>
      </w:r>
      <w:r>
        <w:rPr>
          <w:rFonts w:hint="eastAsia" w:ascii="楷体" w:hAnsi="楷体" w:eastAsia="楷体" w:cs="楷体"/>
          <w:color w:val="auto"/>
          <w:szCs w:val="32"/>
        </w:rPr>
        <w:t>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挂账整改率是指某市直部门、中（区）直单位对申请挂账后的案卷在规定时间内进行整改。具体计算公式：</w:t>
      </w:r>
    </w:p>
    <w:p>
      <w:pPr>
        <w:keepNext w:val="0"/>
        <w:keepLines w:val="0"/>
        <w:pageBreakBefore w:val="0"/>
        <w:widowControl w:val="0"/>
        <w:kinsoku/>
        <w:wordWrap/>
        <w:overflowPunct/>
        <w:topLinePunct w:val="0"/>
        <w:autoSpaceDE/>
        <w:autoSpaceDN/>
        <w:bidi w:val="0"/>
        <w:adjustRightInd w:val="0"/>
        <w:snapToGrid w:val="0"/>
        <w:spacing w:line="720" w:lineRule="exact"/>
        <w:ind w:firstLine="462" w:firstLineChars="200"/>
        <w:jc w:val="center"/>
        <w:textAlignment w:val="auto"/>
        <w:rPr>
          <w:ins w:id="6" w:author="1273093281qqcom" w:date="2023-09-11T10:42:44Z"/>
          <w:rFonts w:hint="default" w:hAnsi="Cambria Math" w:eastAsia="仿宋_GB2312" w:cs="仿宋_GB2312"/>
          <w:b w:val="0"/>
          <w:i w:val="0"/>
          <w:color w:val="auto"/>
          <w:sz w:val="24"/>
          <w:highlight w:val="none"/>
          <w:lang w:val="en-US" w:eastAsia="zh-CN"/>
        </w:rPr>
      </w:pPr>
      <m:oMathPara>
        <m:oMath>
          <m:r>
            <m:rPr>
              <m:sty m:val="p"/>
            </m:rPr>
            <w:rPr>
              <w:rFonts w:hint="eastAsia" w:ascii="Cambria Math" w:hAnsi="Cambria Math" w:eastAsia="仿宋_GB2312" w:cs="仿宋_GB2312"/>
              <w:color w:val="auto"/>
              <w:sz w:val="24"/>
              <w:highlight w:val="none"/>
            </w:rPr>
            <m:t>挂账整改率得分=</m:t>
          </m:r>
          <m:f>
            <m:fPr>
              <m:ctrlPr>
                <w:rPr>
                  <w:rFonts w:hint="eastAsia" w:ascii="Cambria Math" w:hAnsi="Cambria Math" w:eastAsia="仿宋_GB2312" w:cs="仿宋_GB2312"/>
                  <w:color w:val="auto"/>
                  <w:sz w:val="24"/>
                  <w:highlight w:val="none"/>
                </w:rPr>
              </m:ctrlPr>
            </m:fPr>
            <m:num>
              <m:r>
                <m:rPr>
                  <m:sty m:val="p"/>
                </m:rPr>
                <w:rPr>
                  <w:rFonts w:hint="eastAsia" w:ascii="Cambria Math" w:hAnsi="Cambria Math" w:eastAsia="仿宋_GB2312" w:cs="仿宋_GB2312"/>
                  <w:color w:val="auto"/>
                  <w:sz w:val="24"/>
                  <w:highlight w:val="none"/>
                </w:rPr>
                <m:t>挂账案卷处置数</m:t>
              </m:r>
              <m:ctrlPr>
                <w:rPr>
                  <w:rFonts w:hint="eastAsia" w:ascii="Cambria Math" w:hAnsi="Cambria Math" w:eastAsia="仿宋_GB2312" w:cs="仿宋_GB2312"/>
                  <w:color w:val="auto"/>
                  <w:sz w:val="24"/>
                  <w:highlight w:val="none"/>
                </w:rPr>
              </m:ctrlPr>
            </m:num>
            <m:den>
              <m:r>
                <m:rPr>
                  <m:sty m:val="p"/>
                </m:rPr>
                <w:rPr>
                  <w:rFonts w:hint="eastAsia" w:ascii="Cambria Math" w:hAnsi="Cambria Math" w:eastAsia="仿宋_GB2312" w:cs="仿宋_GB2312"/>
                  <w:color w:val="auto"/>
                  <w:sz w:val="24"/>
                  <w:highlight w:val="none"/>
                </w:rPr>
                <m:t>挂账案卷数</m:t>
              </m:r>
              <m:ctrlPr>
                <w:rPr>
                  <w:rFonts w:hint="eastAsia" w:ascii="Cambria Math" w:hAnsi="Cambria Math" w:eastAsia="仿宋_GB2312" w:cs="仿宋_GB2312"/>
                  <w:color w:val="auto"/>
                  <w:sz w:val="24"/>
                  <w:highlight w:val="none"/>
                </w:rPr>
              </m:ctrlPr>
            </m:den>
          </m:f>
          <m:r>
            <m:rPr>
              <m:sty m:val="p"/>
            </m:rPr>
            <w:rPr>
              <w:rFonts w:hint="eastAsia" w:ascii="Cambria Math" w:hAnsi="Cambria Math" w:eastAsia="仿宋_GB2312" w:cs="仿宋_GB2312"/>
              <w:color w:val="auto"/>
              <w:sz w:val="24"/>
              <w:highlight w:val="none"/>
            </w:rPr>
            <m:t>×</m:t>
          </m:r>
          <m:r>
            <m:rPr>
              <m:sty m:val="p"/>
            </m:rPr>
            <w:rPr>
              <w:rFonts w:hint="default" w:ascii="Cambria Math" w:hAnsi="Cambria Math" w:eastAsia="仿宋_GB2312" w:cs="仿宋_GB2312"/>
              <w:color w:val="auto"/>
              <w:sz w:val="24"/>
              <w:highlight w:val="none"/>
              <w:lang w:val="en-US" w:eastAsia="zh-CN"/>
            </w:rPr>
            <m:t>5</m:t>
          </m:r>
        </m:oMath>
      </m:oMathPara>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720" w:lineRule="exact"/>
        <w:ind w:firstLine="622" w:firstLineChars="200"/>
        <w:jc w:val="both"/>
        <w:textAlignment w:val="auto"/>
        <w:rPr>
          <w:rFonts w:eastAsia="仿宋_GB2312"/>
          <w:color w:val="auto"/>
          <w:sz w:val="32"/>
          <w:szCs w:val="32"/>
        </w:rPr>
      </w:pPr>
      <w:r>
        <w:rPr>
          <w:rFonts w:eastAsia="仿宋_GB2312"/>
          <w:color w:val="auto"/>
          <w:sz w:val="32"/>
          <w:szCs w:val="32"/>
        </w:rPr>
        <w:t>备注：当挂账案卷数为0时，挂账整改率得分为满分。</w:t>
      </w:r>
    </w:p>
    <w:p>
      <w:pPr>
        <w:numPr>
          <w:ilvl w:val="0"/>
          <w:numId w:val="0"/>
        </w:numPr>
        <w:adjustRightInd w:val="0"/>
        <w:snapToGrid w:val="0"/>
        <w:spacing w:line="600" w:lineRule="exact"/>
        <w:ind w:left="720" w:firstLine="0" w:firstLineChars="0"/>
        <w:jc w:val="left"/>
        <w:outlineLvl w:val="2"/>
        <w:rPr>
          <w:rFonts w:hint="eastAsia" w:ascii="楷体" w:hAnsi="楷体" w:eastAsia="楷体" w:cs="楷体"/>
          <w:color w:val="auto"/>
          <w:szCs w:val="32"/>
        </w:rPr>
      </w:pPr>
      <w:r>
        <w:rPr>
          <w:rFonts w:hint="eastAsia" w:ascii="楷体" w:hAnsi="楷体" w:eastAsia="楷体" w:cs="楷体"/>
          <w:color w:val="auto"/>
          <w:szCs w:val="32"/>
        </w:rPr>
        <w:t>（五）月度加分项目</w:t>
      </w:r>
    </w:p>
    <w:p>
      <w:pPr>
        <w:adjustRightInd w:val="0"/>
        <w:snapToGrid w:val="0"/>
        <w:spacing w:line="580" w:lineRule="exact"/>
        <w:ind w:firstLine="624"/>
        <w:rPr>
          <w:color w:val="auto"/>
        </w:rPr>
      </w:pPr>
      <w:r>
        <w:rPr>
          <w:rFonts w:eastAsia="仿宋_GB2312"/>
          <w:snapToGrid w:val="0"/>
          <w:color w:val="auto"/>
          <w:kern w:val="0"/>
          <w:szCs w:val="32"/>
        </w:rPr>
        <w:t>考评单位对于职责交叉、管理存在空白、义务处理职责外或历史遗留重点难点等案卷主动处置的（对于新出现职责交叉、管理存在空白的案卷，处置单位需上传相关依据），每件加0.01分，每月加分上限0.2分；当月26日数字化平台系统出月报数据时，有处置加分案卷的县区需自行整理加分项，汇总后向市城市管理领导小组办公室提交加分说明。</w:t>
      </w:r>
    </w:p>
    <w:p>
      <w:pPr>
        <w:numPr>
          <w:ilvl w:val="0"/>
          <w:numId w:val="0"/>
        </w:numPr>
        <w:adjustRightInd w:val="0"/>
        <w:snapToGrid w:val="0"/>
        <w:spacing w:line="600" w:lineRule="exact"/>
        <w:ind w:left="720" w:firstLine="0" w:firstLineChars="0"/>
        <w:jc w:val="left"/>
        <w:outlineLvl w:val="2"/>
        <w:rPr>
          <w:rFonts w:hint="eastAsia" w:ascii="楷体" w:hAnsi="楷体" w:eastAsia="楷体" w:cs="楷体"/>
          <w:color w:val="auto"/>
          <w:szCs w:val="32"/>
        </w:rPr>
      </w:pPr>
      <w:r>
        <w:rPr>
          <w:rFonts w:hint="eastAsia" w:ascii="楷体" w:hAnsi="楷体" w:eastAsia="楷体" w:cs="楷体"/>
          <w:color w:val="auto"/>
          <w:szCs w:val="32"/>
        </w:rPr>
        <w:t>（六）月度扣分项目</w:t>
      </w:r>
    </w:p>
    <w:p>
      <w:pPr>
        <w:adjustRightInd w:val="0"/>
        <w:snapToGrid w:val="0"/>
        <w:spacing w:line="600" w:lineRule="exact"/>
        <w:ind w:firstLine="622" w:firstLineChars="200"/>
        <w:rPr>
          <w:rFonts w:eastAsia="仿宋_GB2312"/>
          <w:color w:val="auto"/>
          <w:szCs w:val="32"/>
        </w:rPr>
      </w:pPr>
      <w:r>
        <w:rPr>
          <w:rFonts w:eastAsia="仿宋_GB2312"/>
          <w:color w:val="auto"/>
          <w:szCs w:val="32"/>
        </w:rPr>
        <w:t>1.拒绝接收市城市管理信息中心案件的，每次（件）扣0.01分。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2.不按照市城市管理信息中心督办或指定处置要求进行处置的，每次（件）扣0.01分。</w:t>
      </w:r>
    </w:p>
    <w:p>
      <w:pPr>
        <w:spacing w:line="586" w:lineRule="exact"/>
        <w:ind w:firstLine="622" w:firstLineChars="200"/>
        <w:jc w:val="left"/>
        <w:rPr>
          <w:rFonts w:eastAsia="仿宋_GB2312"/>
          <w:color w:val="auto"/>
          <w:szCs w:val="32"/>
        </w:rPr>
      </w:pPr>
      <w:r>
        <w:rPr>
          <w:rFonts w:eastAsia="仿宋_GB2312"/>
          <w:color w:val="auto"/>
          <w:szCs w:val="32"/>
        </w:rPr>
        <w:t>3.处置单位未经现场勘察核实或未提供有效证明而直接驳回</w:t>
      </w:r>
      <w:r>
        <w:rPr>
          <w:rFonts w:eastAsia="仿宋_GB2312"/>
          <w:color w:val="auto"/>
          <w:spacing w:val="-11"/>
          <w:szCs w:val="32"/>
        </w:rPr>
        <w:t>案件的，经市城市管理信息中心核实情况属实的，扣1分扣0.01分。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4.不按照要求规范回复办理意见，经市城市管理信息中心指出，当月及之后再次出现不规范回复的，扣1分扣0.01分。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5.如遇井盖缺失、燃气事故、设施伤人、施工伤人、道路塌陷、架空线缆下坠、行道树倾倒等紧急事件时，相关责任单位未根据GB/T30428.8-2020《数字化城市管理信息系统第8部分：立案、处置和结案》中各小类紧急工作时进行围护、修复，每次扣0.05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6.</w:t>
      </w:r>
      <w:r>
        <w:rPr>
          <w:rFonts w:eastAsia="仿宋_GB2312"/>
          <w:color w:val="auto"/>
          <w:spacing w:val="-11"/>
          <w:szCs w:val="32"/>
        </w:rPr>
        <w:t>不参加市城市管理信息中心各类协调会的，每人（次）扣0.01分。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7.在我市城市管理领导小组组织的城市管理月考评中，发现市直部门、中（区）直单位存在城市管理问题的，部件、事件类问题每处扣0.01分。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8.市直部门、中（区）直单位被市级以上主流媒体曝光本行业城市管理问题的，每例扣0.01分。</w:t>
      </w:r>
    </w:p>
    <w:p>
      <w:pPr>
        <w:numPr>
          <w:ilvl w:val="0"/>
          <w:numId w:val="0"/>
        </w:numPr>
        <w:adjustRightInd w:val="0"/>
        <w:snapToGrid w:val="0"/>
        <w:spacing w:line="600" w:lineRule="exact"/>
        <w:ind w:left="720" w:firstLine="0" w:firstLineChars="0"/>
        <w:jc w:val="left"/>
        <w:outlineLvl w:val="2"/>
        <w:rPr>
          <w:rFonts w:hint="eastAsia" w:ascii="楷体" w:hAnsi="楷体" w:eastAsia="楷体" w:cs="楷体"/>
          <w:color w:val="auto"/>
          <w:szCs w:val="32"/>
        </w:rPr>
      </w:pPr>
      <w:r>
        <w:rPr>
          <w:rFonts w:hint="eastAsia" w:ascii="楷体" w:hAnsi="楷体" w:eastAsia="楷体" w:cs="楷体"/>
          <w:color w:val="auto"/>
          <w:szCs w:val="32"/>
        </w:rPr>
        <w:t>（</w:t>
      </w:r>
      <w:r>
        <w:rPr>
          <w:rFonts w:hint="eastAsia" w:ascii="楷体" w:hAnsi="楷体" w:eastAsia="楷体" w:cs="楷体"/>
          <w:color w:val="auto"/>
          <w:szCs w:val="32"/>
          <w:lang w:eastAsia="zh-CN"/>
        </w:rPr>
        <w:t>七</w:t>
      </w:r>
      <w:r>
        <w:rPr>
          <w:rFonts w:hint="eastAsia" w:ascii="楷体" w:hAnsi="楷体" w:eastAsia="楷体" w:cs="楷体"/>
          <w:color w:val="auto"/>
          <w:szCs w:val="32"/>
        </w:rPr>
        <w:t>）评价指标说明</w:t>
      </w:r>
    </w:p>
    <w:p>
      <w:pPr>
        <w:adjustRightInd w:val="0"/>
        <w:snapToGrid w:val="0"/>
        <w:spacing w:line="600" w:lineRule="exact"/>
        <w:ind w:firstLine="622" w:firstLineChars="200"/>
        <w:rPr>
          <w:rFonts w:eastAsia="仿宋_GB2312"/>
          <w:color w:val="auto"/>
          <w:szCs w:val="32"/>
        </w:rPr>
      </w:pPr>
      <w:r>
        <w:rPr>
          <w:rFonts w:eastAsia="仿宋_GB2312"/>
          <w:color w:val="auto"/>
          <w:szCs w:val="32"/>
        </w:rPr>
        <w:t>1.应处置数：立案数中，责任单位按照处置规则应该完成处置的案件数。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2.处置数：立案数中，责任单位按照处置规则已经完成处置的案件数，该值等于同期的按时处置数和超时处置数之和。</w:t>
      </w:r>
    </w:p>
    <w:p>
      <w:pPr>
        <w:adjustRightInd w:val="0"/>
        <w:snapToGrid w:val="0"/>
        <w:spacing w:line="600" w:lineRule="exact"/>
        <w:ind w:firstLine="622" w:firstLineChars="200"/>
        <w:rPr>
          <w:rFonts w:eastAsia="仿宋_GB2312"/>
          <w:color w:val="auto"/>
          <w:szCs w:val="32"/>
        </w:rPr>
      </w:pPr>
      <w:r>
        <w:rPr>
          <w:rFonts w:eastAsia="仿宋_GB2312"/>
          <w:color w:val="auto"/>
          <w:szCs w:val="32"/>
        </w:rPr>
        <w:t>3.按时处置数：应处置数中，责任单位按照处置规则，在处置时限内已完成处置的案件数。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4.超时处置数：应处置数中，责任单位按照处置规则，未在处置时限内完成处置的案件数。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5.督办处置数：是指每月6日零点前对上月未处置案卷及上月督办未处置案卷之和整改完毕的案卷数。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6.督办未处置数：是指每月6日零点前对上月未处置案卷及上月督办未处置案卷之和仍未整改完毕的案卷数。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7.返工数：因未符合结案标准而发回责任单位重新处置的案件，返工数以返工次数计分。</w:t>
      </w:r>
    </w:p>
    <w:p>
      <w:pPr>
        <w:adjustRightInd w:val="0"/>
        <w:snapToGrid w:val="0"/>
        <w:spacing w:line="600" w:lineRule="exact"/>
        <w:ind w:firstLine="622" w:firstLineChars="200"/>
        <w:rPr>
          <w:rFonts w:eastAsia="仿宋_GB2312"/>
          <w:color w:val="auto"/>
          <w:szCs w:val="32"/>
        </w:rPr>
      </w:pPr>
      <w:r>
        <w:rPr>
          <w:rFonts w:eastAsia="仿宋_GB2312"/>
          <w:color w:val="auto"/>
          <w:szCs w:val="32"/>
        </w:rPr>
        <w:t>8.延期数：责任单位按照处置规则，在处置时限内无法完成处置需申请延期（30工作日以内的申请延期，最多能延期3次）处置的案件数，且延期时限超过5个工作日的需向市城市管理领导小组办公室提交延期申请。</w:t>
      </w:r>
    </w:p>
    <w:p>
      <w:pPr>
        <w:adjustRightInd w:val="0"/>
        <w:snapToGrid w:val="0"/>
        <w:spacing w:line="600" w:lineRule="exact"/>
        <w:ind w:firstLine="622" w:firstLineChars="200"/>
        <w:rPr>
          <w:rFonts w:eastAsia="仿宋_GB2312"/>
          <w:color w:val="auto"/>
          <w:szCs w:val="32"/>
        </w:rPr>
      </w:pPr>
      <w:r>
        <w:rPr>
          <w:rFonts w:eastAsia="仿宋_GB2312"/>
          <w:color w:val="auto"/>
          <w:szCs w:val="32"/>
        </w:rPr>
        <w:t>9.一次完成处置数：应处置数中，责任单位按照处置规则，在处置时限内按时完成且未延期、未返工的案件数。</w:t>
      </w:r>
    </w:p>
    <w:p>
      <w:pPr>
        <w:keepNext w:val="0"/>
        <w:keepLines w:val="0"/>
        <w:pageBreakBefore w:val="0"/>
        <w:widowControl w:val="0"/>
        <w:kinsoku/>
        <w:wordWrap/>
        <w:overflowPunct/>
        <w:topLinePunct w:val="0"/>
        <w:autoSpaceDE/>
        <w:autoSpaceDN/>
        <w:bidi w:val="0"/>
        <w:adjustRightInd w:val="0"/>
        <w:snapToGrid w:val="0"/>
        <w:spacing w:line="586" w:lineRule="exact"/>
        <w:ind w:firstLine="622"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eastAsia="仿宋_GB2312"/>
          <w:color w:val="auto"/>
          <w:szCs w:val="32"/>
          <w:lang w:val="en-US" w:eastAsia="zh-CN"/>
        </w:rPr>
        <w:t>10.</w:t>
      </w:r>
      <w:r>
        <w:rPr>
          <w:rFonts w:hint="default" w:ascii="Times New Roman" w:hAnsi="Times New Roman" w:eastAsia="仿宋_GB2312" w:cs="Times New Roman"/>
          <w:color w:val="auto"/>
          <w:kern w:val="2"/>
          <w:sz w:val="32"/>
          <w:szCs w:val="32"/>
          <w:highlight w:val="none"/>
          <w:lang w:val="en-US" w:eastAsia="zh-CN" w:bidi="ar-SA"/>
        </w:rPr>
        <w:t>挂账案卷：指需要较长时间（90工作日以上）查清并处置的复杂、特殊案件，案件申请挂账时需在系统上操作申请并</w:t>
      </w:r>
      <w:r>
        <w:rPr>
          <w:rFonts w:hint="default" w:ascii="Times New Roman" w:hAnsi="Times New Roman" w:eastAsia="仿宋_GB2312" w:cs="Times New Roman"/>
          <w:color w:val="auto"/>
          <w:sz w:val="32"/>
          <w:szCs w:val="32"/>
          <w:highlight w:val="none"/>
          <w:lang w:val="en-US" w:eastAsia="zh-CN"/>
        </w:rPr>
        <w:t>向市城市管理领导小组办公室提交申请说明进行审批。</w:t>
      </w:r>
    </w:p>
    <w:p>
      <w:pPr>
        <w:adjustRightInd w:val="0"/>
        <w:snapToGrid w:val="0"/>
        <w:spacing w:line="600" w:lineRule="exact"/>
        <w:ind w:firstLine="622" w:firstLineChars="200"/>
        <w:rPr>
          <w:rFonts w:eastAsia="仿宋_GB2312"/>
          <w:color w:val="auto"/>
          <w:szCs w:val="32"/>
        </w:rPr>
      </w:pPr>
      <w:r>
        <w:rPr>
          <w:rFonts w:eastAsia="仿宋_GB2312"/>
          <w:color w:val="auto"/>
          <w:szCs w:val="32"/>
        </w:rPr>
        <w:t>1</w:t>
      </w:r>
      <w:r>
        <w:rPr>
          <w:rFonts w:hint="eastAsia" w:eastAsia="仿宋_GB2312"/>
          <w:color w:val="auto"/>
          <w:szCs w:val="32"/>
          <w:lang w:val="en-US" w:eastAsia="zh-CN"/>
        </w:rPr>
        <w:t>1</w:t>
      </w:r>
      <w:r>
        <w:rPr>
          <w:rFonts w:eastAsia="仿宋_GB2312"/>
          <w:color w:val="auto"/>
          <w:szCs w:val="32"/>
        </w:rPr>
        <w:t>.挂账案卷数：应处置数中，需要较长时间（90工作日以上）查清的复杂案件和特殊案件数，申请挂账案卷需向市城市管理领导小组办公室提交申请说明进行审批。</w:t>
      </w:r>
    </w:p>
    <w:p>
      <w:pPr>
        <w:adjustRightInd w:val="0"/>
        <w:snapToGrid w:val="0"/>
        <w:spacing w:line="600" w:lineRule="exact"/>
        <w:ind w:firstLine="622" w:firstLineChars="200"/>
        <w:rPr>
          <w:rFonts w:eastAsia="仿宋_GB2312"/>
          <w:color w:val="auto"/>
          <w:szCs w:val="32"/>
        </w:rPr>
      </w:pPr>
      <w:r>
        <w:rPr>
          <w:rFonts w:eastAsia="仿宋_GB2312"/>
          <w:color w:val="auto"/>
          <w:szCs w:val="32"/>
        </w:rPr>
        <w:t>1</w:t>
      </w:r>
      <w:r>
        <w:rPr>
          <w:rFonts w:hint="eastAsia" w:eastAsia="仿宋_GB2312"/>
          <w:color w:val="auto"/>
          <w:szCs w:val="32"/>
          <w:lang w:val="en-US" w:eastAsia="zh-CN"/>
        </w:rPr>
        <w:t>2</w:t>
      </w:r>
      <w:r>
        <w:rPr>
          <w:rFonts w:eastAsia="仿宋_GB2312"/>
          <w:color w:val="auto"/>
          <w:szCs w:val="32"/>
        </w:rPr>
        <w:t>.挂账案卷处置数：是指案卷申请挂账后在规定的时限内整改完毕的案卷数。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1</w:t>
      </w:r>
      <w:r>
        <w:rPr>
          <w:rFonts w:hint="eastAsia" w:eastAsia="仿宋_GB2312"/>
          <w:color w:val="auto"/>
          <w:szCs w:val="32"/>
          <w:lang w:val="en-US" w:eastAsia="zh-CN"/>
        </w:rPr>
        <w:t>3</w:t>
      </w:r>
      <w:r>
        <w:rPr>
          <w:rFonts w:eastAsia="仿宋_GB2312"/>
          <w:color w:val="auto"/>
          <w:szCs w:val="32"/>
        </w:rPr>
        <w:t>.挂账案卷未处置数：是指案卷申请挂账后未在规定时限内整改完毕的案卷数。</w:t>
      </w:r>
    </w:p>
    <w:p>
      <w:pPr>
        <w:adjustRightInd w:val="0"/>
        <w:snapToGrid w:val="0"/>
        <w:spacing w:line="600" w:lineRule="exact"/>
        <w:ind w:firstLine="622" w:firstLineChars="200"/>
        <w:rPr>
          <w:rFonts w:eastAsia="仿宋_GB2312"/>
          <w:color w:val="auto"/>
          <w:szCs w:val="32"/>
        </w:rPr>
      </w:pPr>
      <w:r>
        <w:rPr>
          <w:rFonts w:eastAsia="仿宋_GB2312"/>
          <w:color w:val="auto"/>
          <w:szCs w:val="32"/>
        </w:rPr>
        <w:t>1</w:t>
      </w:r>
      <w:r>
        <w:rPr>
          <w:rFonts w:hint="eastAsia" w:eastAsia="仿宋_GB2312"/>
          <w:color w:val="auto"/>
          <w:szCs w:val="32"/>
          <w:lang w:val="en-US" w:eastAsia="zh-CN"/>
        </w:rPr>
        <w:t>4</w:t>
      </w:r>
      <w:r>
        <w:rPr>
          <w:rFonts w:eastAsia="仿宋_GB2312"/>
          <w:color w:val="auto"/>
          <w:szCs w:val="32"/>
        </w:rPr>
        <w:t>.拒绝接收数字城管案件：一是指对于责任已经明确的数字城管案件，责任单位无正当理由拒绝接收或</w:t>
      </w:r>
      <w:r>
        <w:rPr>
          <w:rFonts w:hint="eastAsia" w:eastAsia="仿宋_GB2312"/>
          <w:color w:val="auto"/>
          <w:szCs w:val="32"/>
        </w:rPr>
        <w:t>者</w:t>
      </w:r>
      <w:r>
        <w:rPr>
          <w:rFonts w:eastAsia="仿宋_GB2312"/>
          <w:color w:val="auto"/>
          <w:szCs w:val="32"/>
        </w:rPr>
        <w:t>长期不接收的；二是指对于责任不够明确的数字城管案件，经市城市管理信息中心协调确认后，责任单位仍无故拒绝接收案件的。</w:t>
      </w:r>
    </w:p>
    <w:p>
      <w:pPr>
        <w:adjustRightInd w:val="0"/>
        <w:snapToGrid w:val="0"/>
        <w:spacing w:line="600" w:lineRule="exact"/>
        <w:ind w:firstLine="622" w:firstLineChars="200"/>
        <w:rPr>
          <w:rFonts w:eastAsia="仿宋_GB2312"/>
          <w:color w:val="auto"/>
          <w:szCs w:val="32"/>
        </w:rPr>
      </w:pPr>
      <w:r>
        <w:rPr>
          <w:rFonts w:eastAsia="仿宋_GB2312"/>
          <w:color w:val="auto"/>
          <w:szCs w:val="32"/>
        </w:rPr>
        <w:t>1</w:t>
      </w:r>
      <w:r>
        <w:rPr>
          <w:rFonts w:hint="eastAsia" w:eastAsia="仿宋_GB2312"/>
          <w:color w:val="auto"/>
          <w:szCs w:val="32"/>
          <w:lang w:val="en-US" w:eastAsia="zh-CN"/>
        </w:rPr>
        <w:t>5</w:t>
      </w:r>
      <w:r>
        <w:rPr>
          <w:rFonts w:eastAsia="仿宋_GB2312"/>
          <w:color w:val="auto"/>
          <w:szCs w:val="32"/>
        </w:rPr>
        <w:t>.不按照市城市管理信息中心督办或</w:t>
      </w:r>
      <w:r>
        <w:rPr>
          <w:rFonts w:hint="eastAsia" w:eastAsia="仿宋_GB2312"/>
          <w:color w:val="auto"/>
          <w:szCs w:val="32"/>
        </w:rPr>
        <w:t>者</w:t>
      </w:r>
      <w:r>
        <w:rPr>
          <w:rFonts w:eastAsia="仿宋_GB2312"/>
          <w:color w:val="auto"/>
          <w:szCs w:val="32"/>
        </w:rPr>
        <w:t>指定处置要求进行处置：指责任单位对于市城市管理信息中心督办或</w:t>
      </w:r>
      <w:r>
        <w:rPr>
          <w:rFonts w:hint="eastAsia" w:eastAsia="仿宋_GB2312"/>
          <w:color w:val="auto"/>
          <w:szCs w:val="32"/>
        </w:rPr>
        <w:t>者</w:t>
      </w:r>
      <w:r>
        <w:rPr>
          <w:rFonts w:eastAsia="仿宋_GB2312"/>
          <w:color w:val="auto"/>
          <w:szCs w:val="32"/>
        </w:rPr>
        <w:t>指定处置的案件，未按照要求进行处置的行为，包括处置超期、处置结果未达标准或</w:t>
      </w:r>
      <w:r>
        <w:rPr>
          <w:rFonts w:hint="eastAsia" w:eastAsia="仿宋_GB2312"/>
          <w:color w:val="auto"/>
          <w:szCs w:val="32"/>
        </w:rPr>
        <w:t>者</w:t>
      </w:r>
      <w:r>
        <w:rPr>
          <w:rFonts w:eastAsia="仿宋_GB2312"/>
          <w:color w:val="auto"/>
          <w:szCs w:val="32"/>
        </w:rPr>
        <w:t>未如实反馈、未按期反馈处置信息等。</w:t>
      </w:r>
    </w:p>
    <w:p>
      <w:pPr>
        <w:adjustRightInd w:val="0"/>
        <w:snapToGrid w:val="0"/>
        <w:spacing w:line="600" w:lineRule="exact"/>
        <w:ind w:firstLine="622" w:firstLineChars="200"/>
        <w:rPr>
          <w:rFonts w:eastAsia="仿宋_GB2312"/>
          <w:color w:val="auto"/>
          <w:szCs w:val="32"/>
        </w:rPr>
      </w:pPr>
      <w:r>
        <w:rPr>
          <w:rFonts w:eastAsia="仿宋_GB2312"/>
          <w:color w:val="auto"/>
          <w:szCs w:val="32"/>
        </w:rPr>
        <w:t>1</w:t>
      </w:r>
      <w:r>
        <w:rPr>
          <w:rFonts w:hint="eastAsia" w:eastAsia="仿宋_GB2312"/>
          <w:color w:val="auto"/>
          <w:szCs w:val="32"/>
          <w:lang w:val="en-US" w:eastAsia="zh-CN"/>
        </w:rPr>
        <w:t>6</w:t>
      </w:r>
      <w:r>
        <w:rPr>
          <w:rFonts w:eastAsia="仿宋_GB2312"/>
          <w:color w:val="auto"/>
          <w:szCs w:val="32"/>
        </w:rPr>
        <w:t>.不参加数字城管各类协调会：指责任单位未按照相关要求派指定人员参加会议</w:t>
      </w:r>
      <w:r>
        <w:rPr>
          <w:rFonts w:hint="eastAsia" w:eastAsia="仿宋_GB2312"/>
          <w:color w:val="auto"/>
          <w:szCs w:val="32"/>
        </w:rPr>
        <w:t>的</w:t>
      </w:r>
      <w:r>
        <w:rPr>
          <w:rFonts w:eastAsia="仿宋_GB2312"/>
          <w:color w:val="auto"/>
          <w:szCs w:val="32"/>
        </w:rPr>
        <w:t>，或</w:t>
      </w:r>
      <w:r>
        <w:rPr>
          <w:rFonts w:hint="eastAsia" w:eastAsia="仿宋_GB2312"/>
          <w:color w:val="auto"/>
          <w:szCs w:val="32"/>
        </w:rPr>
        <w:t>者</w:t>
      </w:r>
      <w:r>
        <w:rPr>
          <w:rFonts w:eastAsia="仿宋_GB2312"/>
          <w:color w:val="auto"/>
          <w:szCs w:val="32"/>
        </w:rPr>
        <w:t>未按时参加</w:t>
      </w:r>
      <w:r>
        <w:rPr>
          <w:rFonts w:hint="eastAsia" w:eastAsia="仿宋_GB2312"/>
          <w:color w:val="auto"/>
          <w:szCs w:val="32"/>
        </w:rPr>
        <w:t>的，</w:t>
      </w:r>
      <w:r>
        <w:rPr>
          <w:rFonts w:eastAsia="仿宋_GB2312"/>
          <w:color w:val="auto"/>
          <w:szCs w:val="32"/>
        </w:rPr>
        <w:t>甚至无故不参加会议的行为。</w:t>
      </w:r>
    </w:p>
    <w:p>
      <w:pPr>
        <w:numPr>
          <w:ilvl w:val="0"/>
          <w:numId w:val="0"/>
        </w:numPr>
        <w:adjustRightInd w:val="0"/>
        <w:snapToGrid w:val="0"/>
        <w:spacing w:line="600" w:lineRule="exact"/>
        <w:ind w:left="0" w:firstLine="622" w:firstLineChars="200"/>
        <w:jc w:val="left"/>
        <w:outlineLvl w:val="1"/>
        <w:rPr>
          <w:rFonts w:hint="eastAsia" w:ascii="黑体" w:hAnsi="黑体" w:eastAsia="黑体" w:cs="黑体"/>
          <w:color w:val="auto"/>
          <w:szCs w:val="32"/>
        </w:rPr>
      </w:pPr>
      <w:r>
        <w:rPr>
          <w:rFonts w:hint="eastAsia" w:ascii="黑体" w:hAnsi="黑体" w:eastAsia="黑体" w:cs="黑体"/>
          <w:color w:val="auto"/>
          <w:szCs w:val="32"/>
        </w:rPr>
        <w:t>二、年度考评计分方式</w:t>
      </w:r>
    </w:p>
    <w:p>
      <w:pPr>
        <w:numPr>
          <w:ilvl w:val="0"/>
          <w:numId w:val="0"/>
        </w:numPr>
        <w:adjustRightInd w:val="0"/>
        <w:snapToGrid w:val="0"/>
        <w:spacing w:line="600" w:lineRule="exact"/>
        <w:ind w:left="720" w:firstLine="0"/>
        <w:jc w:val="left"/>
        <w:outlineLvl w:val="2"/>
        <w:rPr>
          <w:rFonts w:hint="eastAsia" w:ascii="楷体" w:hAnsi="楷体" w:eastAsia="楷体" w:cs="楷体"/>
          <w:snapToGrid/>
          <w:color w:val="auto"/>
          <w:kern w:val="2"/>
          <w:szCs w:val="32"/>
        </w:rPr>
      </w:pPr>
      <w:r>
        <w:rPr>
          <w:rFonts w:hint="eastAsia" w:ascii="楷体" w:hAnsi="楷体" w:eastAsia="楷体" w:cs="楷体"/>
          <w:snapToGrid/>
          <w:color w:val="auto"/>
          <w:kern w:val="2"/>
          <w:szCs w:val="32"/>
        </w:rPr>
        <w:t>（一）年度考评得分</w:t>
      </w:r>
    </w:p>
    <w:p>
      <w:pPr>
        <w:adjustRightInd w:val="0"/>
        <w:snapToGrid w:val="0"/>
        <w:spacing w:line="580" w:lineRule="exact"/>
        <w:ind w:firstLine="624"/>
        <w:rPr>
          <w:rFonts w:eastAsia="仿宋_GB2312"/>
          <w:snapToGrid w:val="0"/>
          <w:color w:val="auto"/>
          <w:kern w:val="0"/>
          <w:szCs w:val="32"/>
        </w:rPr>
      </w:pPr>
      <w:r>
        <w:rPr>
          <w:rFonts w:eastAsia="仿宋_GB2312"/>
          <w:snapToGrid w:val="0"/>
          <w:color w:val="auto"/>
          <w:kern w:val="0"/>
          <w:szCs w:val="32"/>
        </w:rPr>
        <w:t>年度考评得分=市直、中（区）直单位的月度考评得分之和÷实施考评月度之和+加分考评得分。</w:t>
      </w:r>
    </w:p>
    <w:p>
      <w:pPr>
        <w:numPr>
          <w:ilvl w:val="0"/>
          <w:numId w:val="0"/>
        </w:numPr>
        <w:adjustRightInd w:val="0"/>
        <w:snapToGrid w:val="0"/>
        <w:spacing w:line="600" w:lineRule="exact"/>
        <w:ind w:left="720"/>
        <w:jc w:val="left"/>
        <w:outlineLvl w:val="2"/>
        <w:rPr>
          <w:rFonts w:hint="eastAsia" w:ascii="楷体" w:hAnsi="楷体" w:eastAsia="楷体" w:cs="楷体"/>
          <w:snapToGrid/>
          <w:color w:val="auto"/>
          <w:kern w:val="2"/>
          <w:szCs w:val="32"/>
        </w:rPr>
      </w:pPr>
      <w:r>
        <w:rPr>
          <w:rFonts w:hint="eastAsia" w:ascii="楷体" w:hAnsi="楷体" w:eastAsia="楷体" w:cs="楷体"/>
          <w:snapToGrid/>
          <w:color w:val="auto"/>
          <w:kern w:val="2"/>
          <w:szCs w:val="32"/>
        </w:rPr>
        <w:t>（二）加分考评</w:t>
      </w:r>
    </w:p>
    <w:p>
      <w:pPr>
        <w:adjustRightInd w:val="0"/>
        <w:snapToGrid w:val="0"/>
        <w:spacing w:line="580" w:lineRule="exact"/>
        <w:ind w:firstLine="622" w:firstLineChars="200"/>
        <w:rPr>
          <w:rFonts w:eastAsia="仿宋_GB2312"/>
          <w:snapToGrid w:val="0"/>
          <w:color w:val="auto"/>
          <w:kern w:val="0"/>
          <w:szCs w:val="32"/>
        </w:rPr>
      </w:pPr>
      <w:r>
        <w:rPr>
          <w:rFonts w:eastAsia="仿宋_GB2312"/>
          <w:snapToGrid w:val="0"/>
          <w:color w:val="auto"/>
          <w:kern w:val="0"/>
          <w:szCs w:val="32"/>
        </w:rPr>
        <w:t>本年度市直、中（区）直单位在城市治理、重大活动、迎检工作、城市管理重点工作中成绩突出的，</w:t>
      </w:r>
      <w:r>
        <w:rPr>
          <w:rFonts w:eastAsia="仿宋_GB2312"/>
          <w:color w:val="auto"/>
          <w:szCs w:val="32"/>
        </w:rPr>
        <w:t>按以下标准予以加</w:t>
      </w:r>
      <w:r>
        <w:rPr>
          <w:rFonts w:eastAsia="仿宋_GB2312"/>
          <w:snapToGrid w:val="0"/>
          <w:color w:val="auto"/>
          <w:kern w:val="0"/>
          <w:szCs w:val="32"/>
        </w:rPr>
        <w:t>分</w:t>
      </w:r>
      <w:r>
        <w:rPr>
          <w:rFonts w:hint="eastAsia" w:eastAsia="仿宋_GB2312"/>
          <w:snapToGrid w:val="0"/>
          <w:color w:val="auto"/>
          <w:kern w:val="0"/>
          <w:szCs w:val="32"/>
          <w:lang w:eastAsia="zh-CN"/>
        </w:rPr>
        <w:t>，</w:t>
      </w:r>
      <w:r>
        <w:rPr>
          <w:rFonts w:hint="eastAsia" w:eastAsia="仿宋_GB2312"/>
          <w:snapToGrid w:val="0"/>
          <w:color w:val="auto"/>
          <w:kern w:val="0"/>
          <w:szCs w:val="32"/>
        </w:rPr>
        <w:t>此项为年度加分</w:t>
      </w:r>
      <w:r>
        <w:rPr>
          <w:rFonts w:eastAsia="仿宋_GB2312"/>
          <w:snapToGrid w:val="0"/>
          <w:color w:val="auto"/>
          <w:kern w:val="0"/>
          <w:szCs w:val="32"/>
        </w:rPr>
        <w:t>：</w:t>
      </w:r>
    </w:p>
    <w:p>
      <w:pPr>
        <w:adjustRightInd w:val="0"/>
        <w:snapToGrid w:val="0"/>
        <w:spacing w:line="580" w:lineRule="exact"/>
        <w:ind w:firstLine="624"/>
        <w:rPr>
          <w:rFonts w:eastAsia="仿宋_GB2312"/>
          <w:snapToGrid w:val="0"/>
          <w:color w:val="auto"/>
          <w:kern w:val="0"/>
          <w:szCs w:val="32"/>
        </w:rPr>
      </w:pPr>
    </w:p>
    <w:tbl>
      <w:tblPr>
        <w:tblStyle w:val="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3661"/>
        <w:gridCol w:w="22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tcPr>
          <w:p>
            <w:pPr>
              <w:adjustRightInd w:val="0"/>
              <w:snapToGrid w:val="0"/>
              <w:spacing w:line="580" w:lineRule="exact"/>
              <w:rPr>
                <w:rFonts w:eastAsia="仿宋_GB2312"/>
                <w:snapToGrid w:val="0"/>
                <w:color w:val="auto"/>
                <w:kern w:val="0"/>
                <w:szCs w:val="32"/>
              </w:rPr>
            </w:pPr>
            <w:r>
              <w:rPr>
                <w:rFonts w:eastAsia="仿宋_GB2312"/>
                <w:snapToGrid w:val="0"/>
                <w:color w:val="auto"/>
                <w:kern w:val="0"/>
                <w:szCs w:val="32"/>
              </w:rPr>
              <w:t>序号</w:t>
            </w:r>
          </w:p>
        </w:tc>
        <w:tc>
          <w:tcPr>
            <w:tcW w:w="3661" w:type="dxa"/>
          </w:tcPr>
          <w:p>
            <w:pPr>
              <w:adjustRightInd w:val="0"/>
              <w:snapToGrid w:val="0"/>
              <w:spacing w:line="580" w:lineRule="exact"/>
              <w:jc w:val="center"/>
              <w:rPr>
                <w:rFonts w:eastAsia="仿宋_GB2312"/>
                <w:snapToGrid w:val="0"/>
                <w:color w:val="auto"/>
                <w:kern w:val="0"/>
                <w:szCs w:val="32"/>
              </w:rPr>
            </w:pPr>
            <w:r>
              <w:rPr>
                <w:rFonts w:eastAsia="仿宋_GB2312"/>
                <w:snapToGrid w:val="0"/>
                <w:color w:val="auto"/>
                <w:kern w:val="0"/>
                <w:szCs w:val="32"/>
              </w:rPr>
              <w:t>项目</w:t>
            </w:r>
          </w:p>
        </w:tc>
        <w:tc>
          <w:tcPr>
            <w:tcW w:w="2260" w:type="dxa"/>
          </w:tcPr>
          <w:p>
            <w:pPr>
              <w:adjustRightInd w:val="0"/>
              <w:snapToGrid w:val="0"/>
              <w:spacing w:line="580" w:lineRule="exact"/>
              <w:jc w:val="center"/>
              <w:rPr>
                <w:rFonts w:eastAsia="仿宋_GB2312"/>
                <w:snapToGrid w:val="0"/>
                <w:color w:val="auto"/>
                <w:kern w:val="0"/>
                <w:szCs w:val="32"/>
              </w:rPr>
            </w:pPr>
            <w:r>
              <w:rPr>
                <w:rFonts w:eastAsia="仿宋_GB2312"/>
                <w:snapToGrid w:val="0"/>
                <w:color w:val="auto"/>
                <w:kern w:val="0"/>
                <w:szCs w:val="32"/>
              </w:rPr>
              <w:t>增加分数</w:t>
            </w:r>
          </w:p>
        </w:tc>
        <w:tc>
          <w:tcPr>
            <w:tcW w:w="2268" w:type="dxa"/>
          </w:tcPr>
          <w:p>
            <w:pPr>
              <w:adjustRightInd w:val="0"/>
              <w:snapToGrid w:val="0"/>
              <w:spacing w:line="580" w:lineRule="exact"/>
              <w:jc w:val="center"/>
              <w:rPr>
                <w:rFonts w:eastAsia="仿宋_GB2312"/>
                <w:snapToGrid w:val="0"/>
                <w:color w:val="auto"/>
                <w:kern w:val="0"/>
                <w:szCs w:val="32"/>
              </w:rPr>
            </w:pPr>
            <w:r>
              <w:rPr>
                <w:rFonts w:eastAsia="仿宋_GB2312"/>
                <w:snapToGrid w:val="0"/>
                <w:color w:val="auto"/>
                <w:kern w:val="0"/>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pPr>
              <w:adjustRightInd w:val="0"/>
              <w:snapToGrid w:val="0"/>
              <w:jc w:val="center"/>
              <w:rPr>
                <w:rFonts w:eastAsia="仿宋_GB2312"/>
                <w:snapToGrid w:val="0"/>
                <w:color w:val="auto"/>
                <w:kern w:val="0"/>
                <w:szCs w:val="32"/>
              </w:rPr>
            </w:pPr>
            <w:r>
              <w:rPr>
                <w:rFonts w:eastAsia="仿宋_GB2312"/>
                <w:snapToGrid w:val="0"/>
                <w:color w:val="auto"/>
                <w:kern w:val="0"/>
                <w:szCs w:val="32"/>
              </w:rPr>
              <w:t>1</w:t>
            </w:r>
          </w:p>
        </w:tc>
        <w:tc>
          <w:tcPr>
            <w:tcW w:w="3661" w:type="dxa"/>
          </w:tcPr>
          <w:p>
            <w:pPr>
              <w:adjustRightInd w:val="0"/>
              <w:snapToGrid w:val="0"/>
              <w:rPr>
                <w:rFonts w:eastAsia="仿宋_GB2312"/>
                <w:snapToGrid w:val="0"/>
                <w:color w:val="auto"/>
                <w:kern w:val="0"/>
                <w:szCs w:val="32"/>
              </w:rPr>
            </w:pPr>
            <w:r>
              <w:rPr>
                <w:rFonts w:eastAsia="仿宋_GB2312"/>
                <w:snapToGrid w:val="0"/>
                <w:color w:val="auto"/>
                <w:kern w:val="0"/>
                <w:szCs w:val="32"/>
              </w:rPr>
              <w:t>获得国家部委（含副部级）、自治区（党委、人大、政府、政协）主要领导签字明确予以表扬的</w:t>
            </w:r>
          </w:p>
        </w:tc>
        <w:tc>
          <w:tcPr>
            <w:tcW w:w="2260" w:type="dxa"/>
          </w:tcPr>
          <w:p>
            <w:pPr>
              <w:adjustRightInd w:val="0"/>
              <w:snapToGrid w:val="0"/>
              <w:rPr>
                <w:rFonts w:eastAsia="仿宋_GB2312"/>
                <w:snapToGrid w:val="0"/>
                <w:color w:val="auto"/>
                <w:kern w:val="0"/>
                <w:szCs w:val="32"/>
              </w:rPr>
            </w:pPr>
            <w:r>
              <w:rPr>
                <w:rFonts w:eastAsia="仿宋_GB2312"/>
                <w:snapToGrid w:val="0"/>
                <w:color w:val="auto"/>
                <w:kern w:val="0"/>
                <w:szCs w:val="32"/>
              </w:rPr>
              <w:t>每次加0.6分</w:t>
            </w:r>
          </w:p>
        </w:tc>
        <w:tc>
          <w:tcPr>
            <w:tcW w:w="2268" w:type="dxa"/>
            <w:vMerge w:val="restart"/>
          </w:tcPr>
          <w:p>
            <w:pPr>
              <w:adjustRightInd w:val="0"/>
              <w:snapToGrid w:val="0"/>
              <w:spacing w:line="580" w:lineRule="exact"/>
              <w:rPr>
                <w:rFonts w:eastAsia="仿宋_GB2312"/>
                <w:snapToGrid w:val="0"/>
                <w:color w:val="auto"/>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pPr>
              <w:adjustRightInd w:val="0"/>
              <w:snapToGrid w:val="0"/>
              <w:jc w:val="center"/>
              <w:rPr>
                <w:rFonts w:eastAsia="仿宋_GB2312"/>
                <w:snapToGrid w:val="0"/>
                <w:color w:val="auto"/>
                <w:kern w:val="0"/>
                <w:szCs w:val="32"/>
              </w:rPr>
            </w:pPr>
            <w:r>
              <w:rPr>
                <w:rFonts w:eastAsia="仿宋_GB2312"/>
                <w:snapToGrid w:val="0"/>
                <w:color w:val="auto"/>
                <w:kern w:val="0"/>
                <w:szCs w:val="32"/>
              </w:rPr>
              <w:t>2</w:t>
            </w:r>
          </w:p>
        </w:tc>
        <w:tc>
          <w:tcPr>
            <w:tcW w:w="3661" w:type="dxa"/>
          </w:tcPr>
          <w:p>
            <w:pPr>
              <w:adjustRightInd w:val="0"/>
              <w:snapToGrid w:val="0"/>
              <w:rPr>
                <w:rFonts w:eastAsia="仿宋_GB2312"/>
                <w:snapToGrid w:val="0"/>
                <w:color w:val="auto"/>
                <w:kern w:val="0"/>
                <w:szCs w:val="32"/>
              </w:rPr>
            </w:pPr>
            <w:r>
              <w:rPr>
                <w:rFonts w:eastAsia="仿宋_GB2312"/>
                <w:snapToGrid w:val="0"/>
                <w:color w:val="auto"/>
                <w:kern w:val="0"/>
                <w:szCs w:val="32"/>
              </w:rPr>
              <w:t>获得国家部委（含副部级）、自治区（党委、人大、政府、政协）领导班子其他领导签字明确予以肯定表扬的</w:t>
            </w:r>
          </w:p>
        </w:tc>
        <w:tc>
          <w:tcPr>
            <w:tcW w:w="2260" w:type="dxa"/>
          </w:tcPr>
          <w:p>
            <w:pPr>
              <w:adjustRightInd w:val="0"/>
              <w:snapToGrid w:val="0"/>
              <w:rPr>
                <w:rFonts w:eastAsia="仿宋_GB2312"/>
                <w:snapToGrid w:val="0"/>
                <w:color w:val="auto"/>
                <w:kern w:val="0"/>
                <w:szCs w:val="32"/>
              </w:rPr>
            </w:pPr>
            <w:r>
              <w:rPr>
                <w:rFonts w:eastAsia="仿宋_GB2312"/>
                <w:snapToGrid w:val="0"/>
                <w:color w:val="auto"/>
                <w:kern w:val="0"/>
                <w:szCs w:val="32"/>
              </w:rPr>
              <w:t>每次加0.3分</w:t>
            </w:r>
          </w:p>
        </w:tc>
        <w:tc>
          <w:tcPr>
            <w:tcW w:w="2268" w:type="dxa"/>
            <w:vMerge w:val="continue"/>
          </w:tcPr>
          <w:p>
            <w:pPr>
              <w:adjustRightInd w:val="0"/>
              <w:snapToGrid w:val="0"/>
              <w:spacing w:line="580" w:lineRule="exact"/>
              <w:rPr>
                <w:rFonts w:eastAsia="仿宋_GB2312"/>
                <w:snapToGrid w:val="0"/>
                <w:color w:val="auto"/>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1" w:type="dxa"/>
            <w:vAlign w:val="center"/>
          </w:tcPr>
          <w:p>
            <w:pPr>
              <w:adjustRightInd w:val="0"/>
              <w:snapToGrid w:val="0"/>
              <w:jc w:val="center"/>
              <w:rPr>
                <w:rFonts w:eastAsia="仿宋_GB2312"/>
                <w:snapToGrid w:val="0"/>
                <w:color w:val="auto"/>
                <w:kern w:val="0"/>
                <w:szCs w:val="32"/>
              </w:rPr>
            </w:pPr>
            <w:r>
              <w:rPr>
                <w:rFonts w:eastAsia="仿宋_GB2312"/>
                <w:snapToGrid w:val="0"/>
                <w:color w:val="auto"/>
                <w:kern w:val="0"/>
                <w:szCs w:val="32"/>
              </w:rPr>
              <w:t>3</w:t>
            </w:r>
          </w:p>
        </w:tc>
        <w:tc>
          <w:tcPr>
            <w:tcW w:w="3661" w:type="dxa"/>
          </w:tcPr>
          <w:p>
            <w:pPr>
              <w:adjustRightInd w:val="0"/>
              <w:snapToGrid w:val="0"/>
              <w:rPr>
                <w:rFonts w:eastAsia="仿宋_GB2312"/>
                <w:snapToGrid w:val="0"/>
                <w:color w:val="auto"/>
                <w:kern w:val="0"/>
                <w:szCs w:val="32"/>
              </w:rPr>
            </w:pPr>
            <w:r>
              <w:rPr>
                <w:rFonts w:eastAsia="仿宋_GB2312"/>
                <w:snapToGrid w:val="0"/>
                <w:color w:val="auto"/>
                <w:kern w:val="0"/>
                <w:szCs w:val="32"/>
              </w:rPr>
              <w:t>获得市委、市政府主要领导签字明确予以肯定表扬的</w:t>
            </w:r>
          </w:p>
        </w:tc>
        <w:tc>
          <w:tcPr>
            <w:tcW w:w="2260" w:type="dxa"/>
          </w:tcPr>
          <w:p>
            <w:pPr>
              <w:adjustRightInd w:val="0"/>
              <w:snapToGrid w:val="0"/>
              <w:rPr>
                <w:rFonts w:eastAsia="仿宋_GB2312"/>
                <w:snapToGrid w:val="0"/>
                <w:color w:val="auto"/>
                <w:kern w:val="0"/>
                <w:szCs w:val="32"/>
              </w:rPr>
            </w:pPr>
            <w:r>
              <w:rPr>
                <w:rFonts w:eastAsia="仿宋_GB2312"/>
                <w:snapToGrid w:val="0"/>
                <w:color w:val="auto"/>
                <w:kern w:val="0"/>
                <w:szCs w:val="32"/>
              </w:rPr>
              <w:t>每次加0.2分</w:t>
            </w:r>
          </w:p>
        </w:tc>
        <w:tc>
          <w:tcPr>
            <w:tcW w:w="2268" w:type="dxa"/>
            <w:vMerge w:val="continue"/>
          </w:tcPr>
          <w:p>
            <w:pPr>
              <w:adjustRightInd w:val="0"/>
              <w:snapToGrid w:val="0"/>
              <w:spacing w:line="580" w:lineRule="exact"/>
              <w:rPr>
                <w:rFonts w:eastAsia="仿宋_GB2312"/>
                <w:snapToGrid w:val="0"/>
                <w:color w:val="auto"/>
                <w:kern w:val="0"/>
                <w:szCs w:val="32"/>
              </w:rPr>
            </w:pPr>
          </w:p>
        </w:tc>
      </w:tr>
    </w:tbl>
    <w:p>
      <w:pPr>
        <w:pStyle w:val="2"/>
        <w:rPr>
          <w:color w:val="auto"/>
        </w:rPr>
      </w:pPr>
    </w:p>
    <w:p>
      <w:pPr>
        <w:numPr>
          <w:ilvl w:val="0"/>
          <w:numId w:val="0"/>
        </w:numPr>
        <w:adjustRightInd w:val="0"/>
        <w:snapToGrid w:val="0"/>
        <w:spacing w:line="600" w:lineRule="exact"/>
        <w:ind w:left="720"/>
        <w:jc w:val="left"/>
        <w:outlineLvl w:val="2"/>
        <w:rPr>
          <w:rFonts w:hint="eastAsia" w:ascii="楷体" w:hAnsi="楷体" w:eastAsia="楷体" w:cs="楷体"/>
          <w:snapToGrid/>
          <w:color w:val="auto"/>
          <w:kern w:val="2"/>
          <w:szCs w:val="32"/>
        </w:rPr>
      </w:pPr>
      <w:r>
        <w:rPr>
          <w:rFonts w:hint="eastAsia" w:ascii="楷体" w:hAnsi="楷体" w:eastAsia="楷体" w:cs="楷体"/>
          <w:snapToGrid/>
          <w:color w:val="auto"/>
          <w:kern w:val="2"/>
          <w:szCs w:val="32"/>
        </w:rPr>
        <w:t>（三）市自然资源局考评说明</w:t>
      </w:r>
    </w:p>
    <w:p>
      <w:pPr>
        <w:ind w:firstLine="622" w:firstLineChars="200"/>
        <w:rPr>
          <w:rFonts w:eastAsia="仿宋_GB2312"/>
          <w:color w:val="auto"/>
          <w:szCs w:val="32"/>
        </w:rPr>
      </w:pPr>
      <w:r>
        <w:rPr>
          <w:rFonts w:eastAsia="仿宋_GB2312"/>
          <w:color w:val="auto"/>
          <w:szCs w:val="32"/>
        </w:rPr>
        <w:t>市自然资源局应在7个工作日内，对城市管理信息中心派发的涉及（象山、秀峰、叠</w:t>
      </w:r>
      <w:bookmarkStart w:id="0" w:name="_GoBack"/>
      <w:bookmarkEnd w:id="0"/>
      <w:r>
        <w:rPr>
          <w:rFonts w:eastAsia="仿宋_GB2312"/>
          <w:color w:val="auto"/>
          <w:szCs w:val="32"/>
        </w:rPr>
        <w:t>彩、七星、雁山）疑似违法建设工单是否属违建进行判定，并按时回告城市管理信息中心。未按时回告的，每1件扣0.</w:t>
      </w:r>
      <w:r>
        <w:rPr>
          <w:rFonts w:hint="eastAsia" w:eastAsia="仿宋_GB2312"/>
          <w:color w:val="auto"/>
          <w:szCs w:val="32"/>
          <w:lang w:val="en-US" w:eastAsia="zh-CN"/>
        </w:rPr>
        <w:t>2</w:t>
      </w:r>
      <w:r>
        <w:rPr>
          <w:rFonts w:eastAsia="仿宋_GB2312"/>
          <w:color w:val="auto"/>
          <w:szCs w:val="32"/>
        </w:rPr>
        <w:t>分。</w:t>
      </w:r>
    </w:p>
    <w:p>
      <w:pPr>
        <w:adjustRightInd w:val="0"/>
        <w:snapToGrid w:val="0"/>
        <w:spacing w:line="600" w:lineRule="exact"/>
        <w:ind w:firstLine="622" w:firstLineChars="200"/>
        <w:rPr>
          <w:rFonts w:eastAsia="仿宋_GB2312"/>
          <w:color w:val="auto"/>
          <w:szCs w:val="32"/>
        </w:rPr>
      </w:pPr>
    </w:p>
    <w:p>
      <w:pPr>
        <w:adjustRightInd w:val="0"/>
        <w:snapToGrid w:val="0"/>
        <w:spacing w:line="600" w:lineRule="exact"/>
        <w:ind w:firstLine="622" w:firstLineChars="200"/>
        <w:rPr>
          <w:rFonts w:eastAsia="仿宋_GB2312"/>
          <w:color w:val="auto"/>
          <w:szCs w:val="32"/>
        </w:rPr>
      </w:pPr>
    </w:p>
    <w:p>
      <w:pPr>
        <w:pStyle w:val="2"/>
        <w:rPr>
          <w:rFonts w:eastAsia="仿宋_GB2312"/>
          <w:color w:val="auto"/>
          <w:szCs w:val="32"/>
        </w:rPr>
      </w:pPr>
    </w:p>
    <w:p>
      <w:pPr>
        <w:rPr>
          <w:rFonts w:eastAsia="仿宋_GB2312"/>
          <w:color w:val="auto"/>
          <w:szCs w:val="32"/>
        </w:rPr>
      </w:pPr>
    </w:p>
    <w:p>
      <w:pPr>
        <w:pStyle w:val="2"/>
        <w:rPr>
          <w:rFonts w:eastAsia="仿宋_GB2312"/>
          <w:color w:val="auto"/>
          <w:szCs w:val="32"/>
        </w:rPr>
      </w:pPr>
    </w:p>
    <w:p>
      <w:pPr>
        <w:rPr>
          <w:rFonts w:eastAsia="仿宋_GB2312"/>
          <w:color w:val="auto"/>
          <w:szCs w:val="32"/>
        </w:rPr>
      </w:pPr>
    </w:p>
    <w:p>
      <w:pPr>
        <w:spacing w:line="600" w:lineRule="exact"/>
        <w:rPr>
          <w:color w:val="auto"/>
        </w:rPr>
      </w:pPr>
    </w:p>
    <w:sectPr>
      <w:headerReference r:id="rId3" w:type="default"/>
      <w:footerReference r:id="rId4" w:type="default"/>
      <w:footerReference r:id="rId5" w:type="even"/>
      <w:endnotePr>
        <w:numFmt w:val="decimalEnclosedCircleChinese"/>
      </w:endnotePr>
      <w:pgSz w:w="11906" w:h="16838"/>
      <w:pgMar w:top="2098" w:right="1304" w:bottom="1304" w:left="1587" w:header="851" w:footer="851" w:gutter="0"/>
      <w:pgNumType w:fmt="decimal" w:start="1"/>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2312">
    <w:altName w:val="宋体"/>
    <w:panose1 w:val="02000000000000000000"/>
    <w:charset w:val="86"/>
    <w:family w:val="auto"/>
    <w:pitch w:val="default"/>
    <w:sig w:usb0="00000000" w:usb1="00000000" w:usb2="00000012"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altName w:val="DejaVu Math TeX Gyre"/>
    <w:panose1 w:val="02040503050406030204"/>
    <w:charset w:val="00"/>
    <w:family w:val="auto"/>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80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7735"/>
      </w:tabs>
      <w:rPr>
        <w:rFonts w:hint="eastAsia" w:asciiTheme="minorEastAsia" w:hAnsiTheme="minorEastAsia" w:eastAsiaTheme="minorEastAsia" w:cstheme="minorEastAsia"/>
        <w:sz w:val="28"/>
        <w:szCs w:val="28"/>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-24130</wp:posOffset>
              </wp:positionV>
              <wp:extent cx="1828800" cy="24892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top:-1.9pt;height:19.6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Cgb7h1gAAAAYBAAAPAAAAAAAAAAEAIAAAADgAAABkcnMvZG93bnJldi54bWxQ&#10;SwECFAAUAAAACACHTuJAdb/kKBwCAAAoBAAADgAAAAAAAAABACAAAAA7AQAAZHJzL2Uyb0RvYy54&#10;bWxQSwUGAAAAAAYABgBZAQAAyQUAAAAA&#10;">
              <v:fill on="f" focussize="0,0"/>
              <v:stroke on="f" weight="0.5pt"/>
              <v:imagedata o:title=""/>
              <o:lock v:ext="edit" aspectratio="f"/>
              <v:textbox inset="0mm,0mm,0mm,0mm">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1846" w:y="-39"/>
      <w:rPr>
        <w:rStyle w:val="11"/>
        <w:rFonts w:ascii="宋体" w:hAnsi="宋体"/>
        <w:sz w:val="28"/>
        <w:szCs w:val="28"/>
      </w:rPr>
    </w:pP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- 6 -</w:t>
    </w:r>
    <w:r>
      <w:rPr>
        <w:rFonts w:ascii="宋体" w:hAnsi="宋体"/>
        <w:sz w:val="28"/>
        <w:szCs w:val="28"/>
      </w:rPr>
      <w:fldChar w:fldCharType="end"/>
    </w:r>
  </w:p>
  <w:p>
    <w:pPr>
      <w:pStyle w:val="2"/>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EC2315"/>
    <w:multiLevelType w:val="singleLevel"/>
    <w:tmpl w:val="A2EC2315"/>
    <w:lvl w:ilvl="0" w:tentative="0">
      <w:start w:val="1"/>
      <w:numFmt w:val="decimal"/>
      <w:pStyle w:val="15"/>
      <w:lvlText w:val="%1."/>
      <w:lvlJc w:val="left"/>
      <w:pPr>
        <w:ind w:left="425" w:hanging="425"/>
      </w:pPr>
      <w:rPr>
        <w:rFonts w:hint="default"/>
      </w:rPr>
    </w:lvl>
  </w:abstractNum>
  <w:abstractNum w:abstractNumId="1">
    <w:nsid w:val="34ADBE4C"/>
    <w:multiLevelType w:val="singleLevel"/>
    <w:tmpl w:val="34ADBE4C"/>
    <w:lvl w:ilvl="0" w:tentative="0">
      <w:start w:val="1"/>
      <w:numFmt w:val="decimal"/>
      <w:pStyle w:val="16"/>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273093281qqcom">
    <w15:presenceInfo w15:providerId="WPS Office" w15:userId="1207991686"/>
  </w15:person>
  <w15:person w15:author="㲚鵚">
    <w15:presenceInfo w15:providerId="WPS Office" w15:userId="3303427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endnotePr>
    <w:numFmt w:val="decimalEnclosedCircleChinese"/>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3MDI1M2U4NTFjNzVjYzE4OWQ3N2Y1NjA0NWZmN2QifQ=="/>
  </w:docVars>
  <w:rsids>
    <w:rsidRoot w:val="003725E6"/>
    <w:rsid w:val="00014372"/>
    <w:rsid w:val="000500CB"/>
    <w:rsid w:val="00140910"/>
    <w:rsid w:val="0015472B"/>
    <w:rsid w:val="00192D87"/>
    <w:rsid w:val="001E5554"/>
    <w:rsid w:val="001F3ADC"/>
    <w:rsid w:val="00203D0E"/>
    <w:rsid w:val="00242E99"/>
    <w:rsid w:val="002A5F1E"/>
    <w:rsid w:val="00317359"/>
    <w:rsid w:val="00321311"/>
    <w:rsid w:val="00341249"/>
    <w:rsid w:val="003725E6"/>
    <w:rsid w:val="00395A87"/>
    <w:rsid w:val="003B21AC"/>
    <w:rsid w:val="003F4FA6"/>
    <w:rsid w:val="005C520B"/>
    <w:rsid w:val="0060034F"/>
    <w:rsid w:val="00642DC2"/>
    <w:rsid w:val="006D602E"/>
    <w:rsid w:val="006E5278"/>
    <w:rsid w:val="0070753A"/>
    <w:rsid w:val="00773E3B"/>
    <w:rsid w:val="007F1F2A"/>
    <w:rsid w:val="008173E5"/>
    <w:rsid w:val="00835DB7"/>
    <w:rsid w:val="008736A5"/>
    <w:rsid w:val="00877EE5"/>
    <w:rsid w:val="008F35C4"/>
    <w:rsid w:val="009030D7"/>
    <w:rsid w:val="0094396A"/>
    <w:rsid w:val="00945B92"/>
    <w:rsid w:val="00A90771"/>
    <w:rsid w:val="00A92AD4"/>
    <w:rsid w:val="00AB40C6"/>
    <w:rsid w:val="00AD0B36"/>
    <w:rsid w:val="00AF4F22"/>
    <w:rsid w:val="00B408D0"/>
    <w:rsid w:val="00B456A5"/>
    <w:rsid w:val="00B93C36"/>
    <w:rsid w:val="00BB5D5F"/>
    <w:rsid w:val="00BC621E"/>
    <w:rsid w:val="00BD5218"/>
    <w:rsid w:val="00BE2FB4"/>
    <w:rsid w:val="00BF0B22"/>
    <w:rsid w:val="00C72DAE"/>
    <w:rsid w:val="00C916F2"/>
    <w:rsid w:val="00D342E9"/>
    <w:rsid w:val="00DC495A"/>
    <w:rsid w:val="00E7661B"/>
    <w:rsid w:val="00EE75B4"/>
    <w:rsid w:val="00F13ABF"/>
    <w:rsid w:val="00F4042E"/>
    <w:rsid w:val="01810542"/>
    <w:rsid w:val="018A7679"/>
    <w:rsid w:val="01A356B9"/>
    <w:rsid w:val="01BC76E5"/>
    <w:rsid w:val="01DF7BD6"/>
    <w:rsid w:val="022526E0"/>
    <w:rsid w:val="025A5E28"/>
    <w:rsid w:val="026404F5"/>
    <w:rsid w:val="02795114"/>
    <w:rsid w:val="0295264B"/>
    <w:rsid w:val="02985DC6"/>
    <w:rsid w:val="02E12DBA"/>
    <w:rsid w:val="02FA18CC"/>
    <w:rsid w:val="030855AF"/>
    <w:rsid w:val="03344462"/>
    <w:rsid w:val="0361440A"/>
    <w:rsid w:val="036C76FE"/>
    <w:rsid w:val="039C16D7"/>
    <w:rsid w:val="03CF433F"/>
    <w:rsid w:val="03D41DFE"/>
    <w:rsid w:val="03ED1709"/>
    <w:rsid w:val="03F1544D"/>
    <w:rsid w:val="04A6039C"/>
    <w:rsid w:val="04B36F33"/>
    <w:rsid w:val="04BE785C"/>
    <w:rsid w:val="04E47A4F"/>
    <w:rsid w:val="04FA25D4"/>
    <w:rsid w:val="05114275"/>
    <w:rsid w:val="05345215"/>
    <w:rsid w:val="056401E1"/>
    <w:rsid w:val="059B7193"/>
    <w:rsid w:val="05A3613A"/>
    <w:rsid w:val="05E10EA9"/>
    <w:rsid w:val="0620333D"/>
    <w:rsid w:val="0620607F"/>
    <w:rsid w:val="065E4493"/>
    <w:rsid w:val="066C0621"/>
    <w:rsid w:val="06A70B12"/>
    <w:rsid w:val="06B13CF9"/>
    <w:rsid w:val="06DD649D"/>
    <w:rsid w:val="06E94E42"/>
    <w:rsid w:val="07267620"/>
    <w:rsid w:val="075F0473"/>
    <w:rsid w:val="07602AAD"/>
    <w:rsid w:val="07F722BC"/>
    <w:rsid w:val="08103BE4"/>
    <w:rsid w:val="08105CB8"/>
    <w:rsid w:val="089B02FA"/>
    <w:rsid w:val="08CC187D"/>
    <w:rsid w:val="08E32FE0"/>
    <w:rsid w:val="08FD17C0"/>
    <w:rsid w:val="092403B3"/>
    <w:rsid w:val="095D0268"/>
    <w:rsid w:val="09664528"/>
    <w:rsid w:val="09881A9A"/>
    <w:rsid w:val="098B42C2"/>
    <w:rsid w:val="09D20B78"/>
    <w:rsid w:val="0AF3728E"/>
    <w:rsid w:val="0B213CA3"/>
    <w:rsid w:val="0B8C3B88"/>
    <w:rsid w:val="0BB01ADF"/>
    <w:rsid w:val="0BE975D6"/>
    <w:rsid w:val="0BF64E2C"/>
    <w:rsid w:val="0C2C077A"/>
    <w:rsid w:val="0C531C07"/>
    <w:rsid w:val="0C5B5B96"/>
    <w:rsid w:val="0C7D1477"/>
    <w:rsid w:val="0CB174CE"/>
    <w:rsid w:val="0CCF3ED6"/>
    <w:rsid w:val="0D465FC4"/>
    <w:rsid w:val="0D786F09"/>
    <w:rsid w:val="0D906017"/>
    <w:rsid w:val="0DC136DA"/>
    <w:rsid w:val="0E7E56CB"/>
    <w:rsid w:val="0E8A14AC"/>
    <w:rsid w:val="0EDA5224"/>
    <w:rsid w:val="0F26713F"/>
    <w:rsid w:val="0F49778D"/>
    <w:rsid w:val="0F665668"/>
    <w:rsid w:val="0F7D6A6F"/>
    <w:rsid w:val="0FCA57AB"/>
    <w:rsid w:val="0FF57B22"/>
    <w:rsid w:val="0FFC5DB7"/>
    <w:rsid w:val="100D5414"/>
    <w:rsid w:val="103A0DDE"/>
    <w:rsid w:val="104B759A"/>
    <w:rsid w:val="11186A50"/>
    <w:rsid w:val="1124409D"/>
    <w:rsid w:val="112E6E11"/>
    <w:rsid w:val="11C85E35"/>
    <w:rsid w:val="12310174"/>
    <w:rsid w:val="128D5F14"/>
    <w:rsid w:val="12BA0EAA"/>
    <w:rsid w:val="12C73AA5"/>
    <w:rsid w:val="12C950A1"/>
    <w:rsid w:val="131B412C"/>
    <w:rsid w:val="132D60B6"/>
    <w:rsid w:val="13681994"/>
    <w:rsid w:val="13ED74B8"/>
    <w:rsid w:val="13F6256C"/>
    <w:rsid w:val="142345DD"/>
    <w:rsid w:val="142C29B9"/>
    <w:rsid w:val="143C12B0"/>
    <w:rsid w:val="145B120C"/>
    <w:rsid w:val="14793E21"/>
    <w:rsid w:val="149A06D1"/>
    <w:rsid w:val="14CA0CDC"/>
    <w:rsid w:val="14E670AB"/>
    <w:rsid w:val="14F26839"/>
    <w:rsid w:val="1520725C"/>
    <w:rsid w:val="15485C76"/>
    <w:rsid w:val="15642124"/>
    <w:rsid w:val="15B64476"/>
    <w:rsid w:val="15F53F74"/>
    <w:rsid w:val="15FF6367"/>
    <w:rsid w:val="163A3C3C"/>
    <w:rsid w:val="16586E90"/>
    <w:rsid w:val="167646BC"/>
    <w:rsid w:val="16E5368C"/>
    <w:rsid w:val="1706639B"/>
    <w:rsid w:val="17464813"/>
    <w:rsid w:val="1766147E"/>
    <w:rsid w:val="17C7104C"/>
    <w:rsid w:val="184E75EB"/>
    <w:rsid w:val="18693E47"/>
    <w:rsid w:val="18B12CAA"/>
    <w:rsid w:val="18C77262"/>
    <w:rsid w:val="18D525C0"/>
    <w:rsid w:val="18F52CF6"/>
    <w:rsid w:val="18FC3539"/>
    <w:rsid w:val="19406296"/>
    <w:rsid w:val="19474E80"/>
    <w:rsid w:val="19CD2B52"/>
    <w:rsid w:val="19DD2684"/>
    <w:rsid w:val="19F50E22"/>
    <w:rsid w:val="1A015D16"/>
    <w:rsid w:val="1A0927A3"/>
    <w:rsid w:val="1A1E115A"/>
    <w:rsid w:val="1A460E93"/>
    <w:rsid w:val="1A516B2E"/>
    <w:rsid w:val="1A691D2A"/>
    <w:rsid w:val="1A9B254F"/>
    <w:rsid w:val="1AC72502"/>
    <w:rsid w:val="1ACFC69D"/>
    <w:rsid w:val="1B1C0CB2"/>
    <w:rsid w:val="1B7C69FB"/>
    <w:rsid w:val="1B8D5657"/>
    <w:rsid w:val="1BA46F75"/>
    <w:rsid w:val="1BB753C5"/>
    <w:rsid w:val="1BC14C24"/>
    <w:rsid w:val="1BE75D1C"/>
    <w:rsid w:val="1C063AB5"/>
    <w:rsid w:val="1D8F1C4D"/>
    <w:rsid w:val="1D9A43C1"/>
    <w:rsid w:val="1DEF773A"/>
    <w:rsid w:val="1DF33CC7"/>
    <w:rsid w:val="1E024D49"/>
    <w:rsid w:val="1E095230"/>
    <w:rsid w:val="1E893A4F"/>
    <w:rsid w:val="1EF47BD2"/>
    <w:rsid w:val="1F044FDE"/>
    <w:rsid w:val="1F04693A"/>
    <w:rsid w:val="1F0C7F70"/>
    <w:rsid w:val="1F3C5FFF"/>
    <w:rsid w:val="1F6458CF"/>
    <w:rsid w:val="1F993DFF"/>
    <w:rsid w:val="1FBC53A2"/>
    <w:rsid w:val="200D1749"/>
    <w:rsid w:val="202312F5"/>
    <w:rsid w:val="20383F94"/>
    <w:rsid w:val="20763C0C"/>
    <w:rsid w:val="2079293B"/>
    <w:rsid w:val="20A54720"/>
    <w:rsid w:val="20C77C5C"/>
    <w:rsid w:val="20CB71C5"/>
    <w:rsid w:val="20EC0340"/>
    <w:rsid w:val="20F74343"/>
    <w:rsid w:val="21130EEF"/>
    <w:rsid w:val="220C282B"/>
    <w:rsid w:val="224006F3"/>
    <w:rsid w:val="225D7398"/>
    <w:rsid w:val="226C2172"/>
    <w:rsid w:val="22957F87"/>
    <w:rsid w:val="22B30663"/>
    <w:rsid w:val="2304242B"/>
    <w:rsid w:val="231D1CA3"/>
    <w:rsid w:val="237F017D"/>
    <w:rsid w:val="238A1973"/>
    <w:rsid w:val="23943E66"/>
    <w:rsid w:val="23A95BEF"/>
    <w:rsid w:val="23C8762E"/>
    <w:rsid w:val="2438091B"/>
    <w:rsid w:val="247E55C6"/>
    <w:rsid w:val="248B5CBF"/>
    <w:rsid w:val="249A5961"/>
    <w:rsid w:val="2508067B"/>
    <w:rsid w:val="256A3536"/>
    <w:rsid w:val="2588488F"/>
    <w:rsid w:val="25AE746B"/>
    <w:rsid w:val="261E5109"/>
    <w:rsid w:val="267129E9"/>
    <w:rsid w:val="269B0323"/>
    <w:rsid w:val="26C1101D"/>
    <w:rsid w:val="26C25CA0"/>
    <w:rsid w:val="26D20FB3"/>
    <w:rsid w:val="26EE5F99"/>
    <w:rsid w:val="27163FFE"/>
    <w:rsid w:val="2769663E"/>
    <w:rsid w:val="2773052C"/>
    <w:rsid w:val="278768CF"/>
    <w:rsid w:val="27CA4845"/>
    <w:rsid w:val="27D32B81"/>
    <w:rsid w:val="2803503D"/>
    <w:rsid w:val="28262AFA"/>
    <w:rsid w:val="283A665C"/>
    <w:rsid w:val="28416A8B"/>
    <w:rsid w:val="2910745C"/>
    <w:rsid w:val="29466649"/>
    <w:rsid w:val="297357C1"/>
    <w:rsid w:val="29A51C9A"/>
    <w:rsid w:val="29B3190A"/>
    <w:rsid w:val="29D41132"/>
    <w:rsid w:val="2A483107"/>
    <w:rsid w:val="2A6A5CE2"/>
    <w:rsid w:val="2A7166AE"/>
    <w:rsid w:val="2AB44AB4"/>
    <w:rsid w:val="2B0624DD"/>
    <w:rsid w:val="2B7D5CB8"/>
    <w:rsid w:val="2B84446E"/>
    <w:rsid w:val="2B857059"/>
    <w:rsid w:val="2BEA3703"/>
    <w:rsid w:val="2C0F1985"/>
    <w:rsid w:val="2C18269E"/>
    <w:rsid w:val="2C396E48"/>
    <w:rsid w:val="2C3B41D1"/>
    <w:rsid w:val="2C5C5496"/>
    <w:rsid w:val="2C7256A1"/>
    <w:rsid w:val="2C781AF0"/>
    <w:rsid w:val="2C8770A7"/>
    <w:rsid w:val="2CDC7A5C"/>
    <w:rsid w:val="2CE04DB0"/>
    <w:rsid w:val="2D201AC2"/>
    <w:rsid w:val="2DA16100"/>
    <w:rsid w:val="2DCB5ACB"/>
    <w:rsid w:val="2E122BAF"/>
    <w:rsid w:val="2E1F1FF2"/>
    <w:rsid w:val="2E8E5539"/>
    <w:rsid w:val="2F425810"/>
    <w:rsid w:val="2F710F91"/>
    <w:rsid w:val="2FD07F61"/>
    <w:rsid w:val="2FDF0126"/>
    <w:rsid w:val="30046964"/>
    <w:rsid w:val="304940D8"/>
    <w:rsid w:val="304E4C3D"/>
    <w:rsid w:val="309778C4"/>
    <w:rsid w:val="30A47C65"/>
    <w:rsid w:val="30DA4A61"/>
    <w:rsid w:val="31050D34"/>
    <w:rsid w:val="311E7A31"/>
    <w:rsid w:val="31A52DA9"/>
    <w:rsid w:val="31B15D95"/>
    <w:rsid w:val="31DE0A8B"/>
    <w:rsid w:val="31F470F7"/>
    <w:rsid w:val="322E78E3"/>
    <w:rsid w:val="326A6587"/>
    <w:rsid w:val="326B29DD"/>
    <w:rsid w:val="32772C33"/>
    <w:rsid w:val="328210CC"/>
    <w:rsid w:val="32872C70"/>
    <w:rsid w:val="32BA55E1"/>
    <w:rsid w:val="330C47F9"/>
    <w:rsid w:val="3323610A"/>
    <w:rsid w:val="33797E19"/>
    <w:rsid w:val="339675A1"/>
    <w:rsid w:val="33EE2C9F"/>
    <w:rsid w:val="34332ACE"/>
    <w:rsid w:val="34593657"/>
    <w:rsid w:val="346327CB"/>
    <w:rsid w:val="348A1163"/>
    <w:rsid w:val="34AB3E39"/>
    <w:rsid w:val="34B113F4"/>
    <w:rsid w:val="35563115"/>
    <w:rsid w:val="35643762"/>
    <w:rsid w:val="35712F9E"/>
    <w:rsid w:val="359A5551"/>
    <w:rsid w:val="35FF6DB0"/>
    <w:rsid w:val="360C6349"/>
    <w:rsid w:val="362019EC"/>
    <w:rsid w:val="362A27A9"/>
    <w:rsid w:val="36681A11"/>
    <w:rsid w:val="369B4D32"/>
    <w:rsid w:val="36B35215"/>
    <w:rsid w:val="36CF3F1B"/>
    <w:rsid w:val="36DA4FD6"/>
    <w:rsid w:val="36FF7EB6"/>
    <w:rsid w:val="374A0EB1"/>
    <w:rsid w:val="379545AD"/>
    <w:rsid w:val="37A66ECE"/>
    <w:rsid w:val="37F77C7D"/>
    <w:rsid w:val="38106060"/>
    <w:rsid w:val="381D2F93"/>
    <w:rsid w:val="38484687"/>
    <w:rsid w:val="38706043"/>
    <w:rsid w:val="38B31580"/>
    <w:rsid w:val="38D762B2"/>
    <w:rsid w:val="38D94467"/>
    <w:rsid w:val="38FF68CA"/>
    <w:rsid w:val="394F2FA5"/>
    <w:rsid w:val="39905BA2"/>
    <w:rsid w:val="39A41703"/>
    <w:rsid w:val="39CD7F6C"/>
    <w:rsid w:val="39D1230B"/>
    <w:rsid w:val="39F64A59"/>
    <w:rsid w:val="3A274B49"/>
    <w:rsid w:val="3A7944D5"/>
    <w:rsid w:val="3AA638A7"/>
    <w:rsid w:val="3AC16F61"/>
    <w:rsid w:val="3AC97D58"/>
    <w:rsid w:val="3ADB3D07"/>
    <w:rsid w:val="3B02765D"/>
    <w:rsid w:val="3BBD597A"/>
    <w:rsid w:val="3BCF7804"/>
    <w:rsid w:val="3BD22216"/>
    <w:rsid w:val="3BD50440"/>
    <w:rsid w:val="3BDA69C6"/>
    <w:rsid w:val="3BF05AB4"/>
    <w:rsid w:val="3C4D13F4"/>
    <w:rsid w:val="3C62108E"/>
    <w:rsid w:val="3C917B15"/>
    <w:rsid w:val="3CFFF5F2"/>
    <w:rsid w:val="3D0C6072"/>
    <w:rsid w:val="3D27194A"/>
    <w:rsid w:val="3D367733"/>
    <w:rsid w:val="3D453E79"/>
    <w:rsid w:val="3D4C0A44"/>
    <w:rsid w:val="3D723A07"/>
    <w:rsid w:val="3D855BEE"/>
    <w:rsid w:val="3E0E74A4"/>
    <w:rsid w:val="3E1F2913"/>
    <w:rsid w:val="3E8B42C4"/>
    <w:rsid w:val="3EA07DDB"/>
    <w:rsid w:val="3EB50F3D"/>
    <w:rsid w:val="3ECA6D2C"/>
    <w:rsid w:val="3F3E4D75"/>
    <w:rsid w:val="3F9614BE"/>
    <w:rsid w:val="3FFFFEB3"/>
    <w:rsid w:val="4001677D"/>
    <w:rsid w:val="40216042"/>
    <w:rsid w:val="40230EA7"/>
    <w:rsid w:val="404414B7"/>
    <w:rsid w:val="404A2319"/>
    <w:rsid w:val="4080228C"/>
    <w:rsid w:val="40835A4C"/>
    <w:rsid w:val="40B8605F"/>
    <w:rsid w:val="40BD7CF9"/>
    <w:rsid w:val="41255713"/>
    <w:rsid w:val="412A237C"/>
    <w:rsid w:val="416334CC"/>
    <w:rsid w:val="41642037"/>
    <w:rsid w:val="4179395F"/>
    <w:rsid w:val="41BD0ECF"/>
    <w:rsid w:val="42091D7F"/>
    <w:rsid w:val="423C73F9"/>
    <w:rsid w:val="42470FF1"/>
    <w:rsid w:val="424C5E26"/>
    <w:rsid w:val="425A702A"/>
    <w:rsid w:val="42993239"/>
    <w:rsid w:val="42BA550C"/>
    <w:rsid w:val="42D02437"/>
    <w:rsid w:val="42E01236"/>
    <w:rsid w:val="432621B0"/>
    <w:rsid w:val="43262F02"/>
    <w:rsid w:val="438F4A78"/>
    <w:rsid w:val="43EA4F5C"/>
    <w:rsid w:val="442850CC"/>
    <w:rsid w:val="444D0F7D"/>
    <w:rsid w:val="44BA525E"/>
    <w:rsid w:val="44D5553B"/>
    <w:rsid w:val="44EB2A1E"/>
    <w:rsid w:val="44F70669"/>
    <w:rsid w:val="451C3765"/>
    <w:rsid w:val="45436288"/>
    <w:rsid w:val="45675F79"/>
    <w:rsid w:val="456A42A0"/>
    <w:rsid w:val="45944868"/>
    <w:rsid w:val="45A00B94"/>
    <w:rsid w:val="45C97A17"/>
    <w:rsid w:val="45FA231C"/>
    <w:rsid w:val="46111AD9"/>
    <w:rsid w:val="46534FA8"/>
    <w:rsid w:val="46555E73"/>
    <w:rsid w:val="46951D05"/>
    <w:rsid w:val="469D6AD4"/>
    <w:rsid w:val="469F4281"/>
    <w:rsid w:val="46A375E5"/>
    <w:rsid w:val="46AE650C"/>
    <w:rsid w:val="47742290"/>
    <w:rsid w:val="478A0E65"/>
    <w:rsid w:val="47D13064"/>
    <w:rsid w:val="47D342E4"/>
    <w:rsid w:val="48060A78"/>
    <w:rsid w:val="4851442F"/>
    <w:rsid w:val="487B145B"/>
    <w:rsid w:val="48C531D1"/>
    <w:rsid w:val="4920376A"/>
    <w:rsid w:val="499212D3"/>
    <w:rsid w:val="499840B7"/>
    <w:rsid w:val="49F66C27"/>
    <w:rsid w:val="49F83DC5"/>
    <w:rsid w:val="4A651E45"/>
    <w:rsid w:val="4A946FCC"/>
    <w:rsid w:val="4AA05C1E"/>
    <w:rsid w:val="4AB227D6"/>
    <w:rsid w:val="4AFF21AF"/>
    <w:rsid w:val="4B607A63"/>
    <w:rsid w:val="4B795833"/>
    <w:rsid w:val="4B8B2D4B"/>
    <w:rsid w:val="4BB103FE"/>
    <w:rsid w:val="4BB9B8B9"/>
    <w:rsid w:val="4BD83E1E"/>
    <w:rsid w:val="4C6462E9"/>
    <w:rsid w:val="4C667845"/>
    <w:rsid w:val="4CA65171"/>
    <w:rsid w:val="4CAA6853"/>
    <w:rsid w:val="4D1D4FDA"/>
    <w:rsid w:val="4D5F6694"/>
    <w:rsid w:val="4D7242D8"/>
    <w:rsid w:val="4D7F4EE1"/>
    <w:rsid w:val="4D860FB2"/>
    <w:rsid w:val="4E035D44"/>
    <w:rsid w:val="4E07221B"/>
    <w:rsid w:val="4E0E22EF"/>
    <w:rsid w:val="4E5F3A9B"/>
    <w:rsid w:val="4E720700"/>
    <w:rsid w:val="4E890F5E"/>
    <w:rsid w:val="4ECD7F9C"/>
    <w:rsid w:val="4F620F76"/>
    <w:rsid w:val="4FB243C4"/>
    <w:rsid w:val="4FD4214C"/>
    <w:rsid w:val="4FEB5AE3"/>
    <w:rsid w:val="4FF349BA"/>
    <w:rsid w:val="4FFC7DCD"/>
    <w:rsid w:val="50703C58"/>
    <w:rsid w:val="51C83869"/>
    <w:rsid w:val="51DB7FEC"/>
    <w:rsid w:val="52CC5A3D"/>
    <w:rsid w:val="531B14AC"/>
    <w:rsid w:val="53267FBF"/>
    <w:rsid w:val="53354E95"/>
    <w:rsid w:val="53AB6D08"/>
    <w:rsid w:val="53C80BFE"/>
    <w:rsid w:val="53C82F88"/>
    <w:rsid w:val="53D329FC"/>
    <w:rsid w:val="541D1402"/>
    <w:rsid w:val="54412630"/>
    <w:rsid w:val="54474425"/>
    <w:rsid w:val="545311AD"/>
    <w:rsid w:val="545953E4"/>
    <w:rsid w:val="547B7139"/>
    <w:rsid w:val="548E64A2"/>
    <w:rsid w:val="54A63D76"/>
    <w:rsid w:val="54C742DC"/>
    <w:rsid w:val="550B72FE"/>
    <w:rsid w:val="55154E0C"/>
    <w:rsid w:val="55200234"/>
    <w:rsid w:val="559F69F1"/>
    <w:rsid w:val="55B00597"/>
    <w:rsid w:val="55D27D5D"/>
    <w:rsid w:val="56031209"/>
    <w:rsid w:val="56352751"/>
    <w:rsid w:val="563546B0"/>
    <w:rsid w:val="56FE750C"/>
    <w:rsid w:val="570A1002"/>
    <w:rsid w:val="570B3570"/>
    <w:rsid w:val="574B7E86"/>
    <w:rsid w:val="576D604E"/>
    <w:rsid w:val="57A9177C"/>
    <w:rsid w:val="57CC6D39"/>
    <w:rsid w:val="57E93A66"/>
    <w:rsid w:val="57EA1C11"/>
    <w:rsid w:val="57F30F96"/>
    <w:rsid w:val="58352033"/>
    <w:rsid w:val="583C2FE1"/>
    <w:rsid w:val="587E2D70"/>
    <w:rsid w:val="58EF7A8B"/>
    <w:rsid w:val="59177AC1"/>
    <w:rsid w:val="591B0458"/>
    <w:rsid w:val="59251AB8"/>
    <w:rsid w:val="59253609"/>
    <w:rsid w:val="59687F8B"/>
    <w:rsid w:val="59860EFD"/>
    <w:rsid w:val="59AC2E1A"/>
    <w:rsid w:val="59FE5698"/>
    <w:rsid w:val="5A010894"/>
    <w:rsid w:val="5A044ACB"/>
    <w:rsid w:val="5A1E0A63"/>
    <w:rsid w:val="5A3D53EC"/>
    <w:rsid w:val="5A4B40E7"/>
    <w:rsid w:val="5AC96886"/>
    <w:rsid w:val="5AF67CBA"/>
    <w:rsid w:val="5B2C01B8"/>
    <w:rsid w:val="5B3965E2"/>
    <w:rsid w:val="5B4E0AF6"/>
    <w:rsid w:val="5B7B5D04"/>
    <w:rsid w:val="5BB9339B"/>
    <w:rsid w:val="5BC85F49"/>
    <w:rsid w:val="5C087759"/>
    <w:rsid w:val="5C1B0DEF"/>
    <w:rsid w:val="5C201501"/>
    <w:rsid w:val="5C280D07"/>
    <w:rsid w:val="5C4C4613"/>
    <w:rsid w:val="5C4E58B8"/>
    <w:rsid w:val="5C657C3C"/>
    <w:rsid w:val="5C8D3AD6"/>
    <w:rsid w:val="5CAF0C0E"/>
    <w:rsid w:val="5CD66444"/>
    <w:rsid w:val="5CD758C6"/>
    <w:rsid w:val="5CDC6150"/>
    <w:rsid w:val="5CF3349A"/>
    <w:rsid w:val="5D267E90"/>
    <w:rsid w:val="5D29127D"/>
    <w:rsid w:val="5D295F36"/>
    <w:rsid w:val="5D6A3A99"/>
    <w:rsid w:val="5D8A3715"/>
    <w:rsid w:val="5DAA3322"/>
    <w:rsid w:val="5E225883"/>
    <w:rsid w:val="5E2826C6"/>
    <w:rsid w:val="5E413D91"/>
    <w:rsid w:val="5E437C76"/>
    <w:rsid w:val="5E642805"/>
    <w:rsid w:val="5E8A6374"/>
    <w:rsid w:val="5E9A2A39"/>
    <w:rsid w:val="5EEA661A"/>
    <w:rsid w:val="5EF7287F"/>
    <w:rsid w:val="5EF90A0D"/>
    <w:rsid w:val="5F177B81"/>
    <w:rsid w:val="5F265631"/>
    <w:rsid w:val="5F3803D8"/>
    <w:rsid w:val="5F3E4F60"/>
    <w:rsid w:val="5F445C4F"/>
    <w:rsid w:val="5FA83470"/>
    <w:rsid w:val="5FBE12ED"/>
    <w:rsid w:val="5FD046FC"/>
    <w:rsid w:val="5FFD5B47"/>
    <w:rsid w:val="602F47E9"/>
    <w:rsid w:val="604638E0"/>
    <w:rsid w:val="60665EAB"/>
    <w:rsid w:val="60937558"/>
    <w:rsid w:val="60D1289C"/>
    <w:rsid w:val="610522FF"/>
    <w:rsid w:val="614E4513"/>
    <w:rsid w:val="61D66CDD"/>
    <w:rsid w:val="61E57013"/>
    <w:rsid w:val="61ED16F1"/>
    <w:rsid w:val="623C7231"/>
    <w:rsid w:val="62433117"/>
    <w:rsid w:val="625D08F3"/>
    <w:rsid w:val="62703976"/>
    <w:rsid w:val="62976675"/>
    <w:rsid w:val="62C75BA6"/>
    <w:rsid w:val="62CE4235"/>
    <w:rsid w:val="62E95D12"/>
    <w:rsid w:val="63477865"/>
    <w:rsid w:val="635423AF"/>
    <w:rsid w:val="636A6736"/>
    <w:rsid w:val="637B3E4A"/>
    <w:rsid w:val="637F3C29"/>
    <w:rsid w:val="63F159D0"/>
    <w:rsid w:val="64371BB0"/>
    <w:rsid w:val="644E2B7B"/>
    <w:rsid w:val="645601DD"/>
    <w:rsid w:val="64587C66"/>
    <w:rsid w:val="6468651B"/>
    <w:rsid w:val="64D25FFB"/>
    <w:rsid w:val="64E42CB2"/>
    <w:rsid w:val="653603C7"/>
    <w:rsid w:val="654471FF"/>
    <w:rsid w:val="655D6F80"/>
    <w:rsid w:val="657B3EEF"/>
    <w:rsid w:val="658D56C3"/>
    <w:rsid w:val="65CB068C"/>
    <w:rsid w:val="65FF54E2"/>
    <w:rsid w:val="66181A74"/>
    <w:rsid w:val="66883F3B"/>
    <w:rsid w:val="66F30F59"/>
    <w:rsid w:val="674E74AB"/>
    <w:rsid w:val="677A1A1F"/>
    <w:rsid w:val="682B2216"/>
    <w:rsid w:val="683B6F0D"/>
    <w:rsid w:val="68484A5C"/>
    <w:rsid w:val="68637C4A"/>
    <w:rsid w:val="686B10B8"/>
    <w:rsid w:val="6910780F"/>
    <w:rsid w:val="691722BE"/>
    <w:rsid w:val="6931633E"/>
    <w:rsid w:val="69522C4E"/>
    <w:rsid w:val="698413ED"/>
    <w:rsid w:val="69865020"/>
    <w:rsid w:val="69AD3D8E"/>
    <w:rsid w:val="6A0916E4"/>
    <w:rsid w:val="6A0A597F"/>
    <w:rsid w:val="6A2130C9"/>
    <w:rsid w:val="6A3814D0"/>
    <w:rsid w:val="6A3F2905"/>
    <w:rsid w:val="6AC507E4"/>
    <w:rsid w:val="6ADF4B4C"/>
    <w:rsid w:val="6B191851"/>
    <w:rsid w:val="6B2D4FC0"/>
    <w:rsid w:val="6B6264C4"/>
    <w:rsid w:val="6B6A166E"/>
    <w:rsid w:val="6B813045"/>
    <w:rsid w:val="6B827200"/>
    <w:rsid w:val="6B93557B"/>
    <w:rsid w:val="6B9D213D"/>
    <w:rsid w:val="6BA50103"/>
    <w:rsid w:val="6BA6488F"/>
    <w:rsid w:val="6BDB56B5"/>
    <w:rsid w:val="6BE06EC6"/>
    <w:rsid w:val="6BFF2A09"/>
    <w:rsid w:val="6C00243A"/>
    <w:rsid w:val="6C6262A8"/>
    <w:rsid w:val="6CB869C8"/>
    <w:rsid w:val="6D1C2FA9"/>
    <w:rsid w:val="6D1E558C"/>
    <w:rsid w:val="6D2F4EA3"/>
    <w:rsid w:val="6D3E6ACC"/>
    <w:rsid w:val="6D4A15E6"/>
    <w:rsid w:val="6DAB182F"/>
    <w:rsid w:val="6DD76323"/>
    <w:rsid w:val="6DE5158B"/>
    <w:rsid w:val="6E2C3AE4"/>
    <w:rsid w:val="6E7B36E1"/>
    <w:rsid w:val="6ECE50E0"/>
    <w:rsid w:val="6F0809E6"/>
    <w:rsid w:val="6F7D05CA"/>
    <w:rsid w:val="6F816494"/>
    <w:rsid w:val="6FA13BEF"/>
    <w:rsid w:val="6FA75F3B"/>
    <w:rsid w:val="6FC50CC6"/>
    <w:rsid w:val="70123E6A"/>
    <w:rsid w:val="702D5FB0"/>
    <w:rsid w:val="703F51C6"/>
    <w:rsid w:val="704304D1"/>
    <w:rsid w:val="70506E3C"/>
    <w:rsid w:val="70640881"/>
    <w:rsid w:val="70B6413E"/>
    <w:rsid w:val="70C24CC5"/>
    <w:rsid w:val="710737C5"/>
    <w:rsid w:val="71102179"/>
    <w:rsid w:val="7169BCFD"/>
    <w:rsid w:val="719219E1"/>
    <w:rsid w:val="71AA4F29"/>
    <w:rsid w:val="71BE2BB3"/>
    <w:rsid w:val="71C639DA"/>
    <w:rsid w:val="71D24010"/>
    <w:rsid w:val="71FB0B5C"/>
    <w:rsid w:val="722F68CA"/>
    <w:rsid w:val="72592526"/>
    <w:rsid w:val="7285074C"/>
    <w:rsid w:val="730E396D"/>
    <w:rsid w:val="731A0609"/>
    <w:rsid w:val="731B3408"/>
    <w:rsid w:val="73BC1746"/>
    <w:rsid w:val="73E0172E"/>
    <w:rsid w:val="73EC18FD"/>
    <w:rsid w:val="73F053C3"/>
    <w:rsid w:val="743061BF"/>
    <w:rsid w:val="744D2876"/>
    <w:rsid w:val="74805CF2"/>
    <w:rsid w:val="748A5535"/>
    <w:rsid w:val="74E830DF"/>
    <w:rsid w:val="74ED742C"/>
    <w:rsid w:val="74F4710E"/>
    <w:rsid w:val="7502707A"/>
    <w:rsid w:val="7521133F"/>
    <w:rsid w:val="75460A91"/>
    <w:rsid w:val="75497CA3"/>
    <w:rsid w:val="75766D8F"/>
    <w:rsid w:val="75784746"/>
    <w:rsid w:val="757A5141"/>
    <w:rsid w:val="757C1E26"/>
    <w:rsid w:val="758962F1"/>
    <w:rsid w:val="75C61D12"/>
    <w:rsid w:val="75CE35BD"/>
    <w:rsid w:val="761B7CC4"/>
    <w:rsid w:val="762D6BDE"/>
    <w:rsid w:val="763126A2"/>
    <w:rsid w:val="764A782F"/>
    <w:rsid w:val="768E7549"/>
    <w:rsid w:val="769651E5"/>
    <w:rsid w:val="76C51127"/>
    <w:rsid w:val="76CF20EA"/>
    <w:rsid w:val="76D17F50"/>
    <w:rsid w:val="770419FD"/>
    <w:rsid w:val="77165FCF"/>
    <w:rsid w:val="771D3195"/>
    <w:rsid w:val="774E60BA"/>
    <w:rsid w:val="776C296A"/>
    <w:rsid w:val="778634A0"/>
    <w:rsid w:val="77921ECE"/>
    <w:rsid w:val="779B6886"/>
    <w:rsid w:val="77AB0AC6"/>
    <w:rsid w:val="77B0DF7B"/>
    <w:rsid w:val="77BA1E68"/>
    <w:rsid w:val="77BF1F7D"/>
    <w:rsid w:val="77C16217"/>
    <w:rsid w:val="77DF98DC"/>
    <w:rsid w:val="7806346B"/>
    <w:rsid w:val="782E6A0E"/>
    <w:rsid w:val="786260F7"/>
    <w:rsid w:val="786F7A21"/>
    <w:rsid w:val="78742CBB"/>
    <w:rsid w:val="78967010"/>
    <w:rsid w:val="78D11D8E"/>
    <w:rsid w:val="78DE0702"/>
    <w:rsid w:val="78F35440"/>
    <w:rsid w:val="792C766F"/>
    <w:rsid w:val="795D13B0"/>
    <w:rsid w:val="799E31CB"/>
    <w:rsid w:val="79CA1A0D"/>
    <w:rsid w:val="79F04B91"/>
    <w:rsid w:val="7A5349D6"/>
    <w:rsid w:val="7A6227EC"/>
    <w:rsid w:val="7A80151D"/>
    <w:rsid w:val="7ABB2AD9"/>
    <w:rsid w:val="7AEC5954"/>
    <w:rsid w:val="7BC02A26"/>
    <w:rsid w:val="7C0D76DA"/>
    <w:rsid w:val="7C112C74"/>
    <w:rsid w:val="7C2D10FE"/>
    <w:rsid w:val="7C3428A6"/>
    <w:rsid w:val="7C5C5736"/>
    <w:rsid w:val="7C62B8A1"/>
    <w:rsid w:val="7C6E6941"/>
    <w:rsid w:val="7CA95066"/>
    <w:rsid w:val="7CB34121"/>
    <w:rsid w:val="7CF33568"/>
    <w:rsid w:val="7D102D96"/>
    <w:rsid w:val="7D2422F1"/>
    <w:rsid w:val="7DB35AF1"/>
    <w:rsid w:val="7DB6EEC1"/>
    <w:rsid w:val="7DD86EF0"/>
    <w:rsid w:val="7E00405C"/>
    <w:rsid w:val="7E3A11A6"/>
    <w:rsid w:val="7E7A04BA"/>
    <w:rsid w:val="7E9F61F6"/>
    <w:rsid w:val="7EC72BE9"/>
    <w:rsid w:val="7EE22502"/>
    <w:rsid w:val="7EFF9E31"/>
    <w:rsid w:val="7F5A0714"/>
    <w:rsid w:val="7F655595"/>
    <w:rsid w:val="7FF86F42"/>
    <w:rsid w:val="A6F5761D"/>
    <w:rsid w:val="AC7E9B92"/>
    <w:rsid w:val="BD5F3C1D"/>
    <w:rsid w:val="BD77CE27"/>
    <w:rsid w:val="BEDE0989"/>
    <w:rsid w:val="BFAFC723"/>
    <w:rsid w:val="C6FCD05C"/>
    <w:rsid w:val="CF769142"/>
    <w:rsid w:val="D96F3737"/>
    <w:rsid w:val="DBF7ABF5"/>
    <w:rsid w:val="DE2B1E49"/>
    <w:rsid w:val="DF3AAB4C"/>
    <w:rsid w:val="DFEB95D8"/>
    <w:rsid w:val="E9FE123B"/>
    <w:rsid w:val="F4FBA089"/>
    <w:rsid w:val="F6B76F51"/>
    <w:rsid w:val="F87D13BE"/>
    <w:rsid w:val="FB5F7918"/>
    <w:rsid w:val="FEAFC9D8"/>
    <w:rsid w:val="FEFA8419"/>
    <w:rsid w:val="FF3F6B1D"/>
    <w:rsid w:val="FFF4D4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20"/>
    <w:qFormat/>
    <w:uiPriority w:val="0"/>
    <w:pPr>
      <w:tabs>
        <w:tab w:val="center" w:pos="4153"/>
        <w:tab w:val="right" w:pos="8306"/>
      </w:tabs>
      <w:snapToGrid w:val="0"/>
      <w:jc w:val="left"/>
    </w:pPr>
    <w:rPr>
      <w:sz w:val="18"/>
      <w:szCs w:val="18"/>
    </w:rPr>
  </w:style>
  <w:style w:type="paragraph" w:styleId="3">
    <w:name w:val="Balloon Text"/>
    <w:basedOn w:val="1"/>
    <w:link w:val="24"/>
    <w:qFormat/>
    <w:uiPriority w:val="0"/>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link w:val="22"/>
    <w:qFormat/>
    <w:uiPriority w:val="0"/>
  </w:style>
  <w:style w:type="paragraph" w:styleId="6">
    <w:name w:val="List"/>
    <w:basedOn w:val="1"/>
    <w:qFormat/>
    <w:uiPriority w:val="0"/>
    <w:pPr>
      <w:ind w:left="200" w:hanging="200" w:hangingChars="200"/>
    </w:pPr>
  </w:style>
  <w:style w:type="paragraph" w:styleId="7">
    <w:name w:val="footnote text"/>
    <w:basedOn w:val="1"/>
    <w:qFormat/>
    <w:uiPriority w:val="0"/>
    <w:pPr>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footnote reference"/>
    <w:basedOn w:val="10"/>
    <w:qFormat/>
    <w:uiPriority w:val="0"/>
    <w:rPr>
      <w:rFonts w:ascii="Times New Roman" w:hAnsi="Times New Roman" w:eastAsia="宋体"/>
      <w:vertAlign w:val="superscript"/>
    </w:rPr>
  </w:style>
  <w:style w:type="paragraph" w:customStyle="1" w:styleId="13">
    <w:name w:val="样式1"/>
    <w:basedOn w:val="7"/>
    <w:next w:val="5"/>
    <w:link w:val="21"/>
    <w:qFormat/>
    <w:uiPriority w:val="0"/>
  </w:style>
  <w:style w:type="paragraph" w:customStyle="1" w:styleId="14">
    <w:name w:val="样式2"/>
    <w:basedOn w:val="6"/>
    <w:link w:val="19"/>
    <w:qFormat/>
    <w:uiPriority w:val="0"/>
  </w:style>
  <w:style w:type="paragraph" w:customStyle="1" w:styleId="15">
    <w:name w:val="样式3"/>
    <w:basedOn w:val="1"/>
    <w:link w:val="18"/>
    <w:qFormat/>
    <w:uiPriority w:val="0"/>
    <w:pPr>
      <w:numPr>
        <w:ilvl w:val="0"/>
        <w:numId w:val="1"/>
      </w:numPr>
    </w:pPr>
  </w:style>
  <w:style w:type="paragraph" w:customStyle="1" w:styleId="16">
    <w:name w:val="样式4"/>
    <w:basedOn w:val="1"/>
    <w:link w:val="17"/>
    <w:qFormat/>
    <w:uiPriority w:val="0"/>
    <w:pPr>
      <w:numPr>
        <w:ilvl w:val="0"/>
        <w:numId w:val="2"/>
      </w:numPr>
    </w:pPr>
  </w:style>
  <w:style w:type="character" w:customStyle="1" w:styleId="17">
    <w:name w:val="样式4 Char"/>
    <w:link w:val="16"/>
    <w:qFormat/>
    <w:uiPriority w:val="0"/>
    <w:rPr>
      <w:rFonts w:ascii="Times New Roman" w:hAnsi="Times New Roman"/>
    </w:rPr>
  </w:style>
  <w:style w:type="character" w:customStyle="1" w:styleId="18">
    <w:name w:val="样式3 Char"/>
    <w:link w:val="15"/>
    <w:qFormat/>
    <w:uiPriority w:val="0"/>
    <w:rPr>
      <w:rFonts w:ascii="Times New Roman" w:hAnsi="Times New Roman"/>
    </w:rPr>
  </w:style>
  <w:style w:type="character" w:customStyle="1" w:styleId="19">
    <w:name w:val="样式2 Char"/>
    <w:link w:val="14"/>
    <w:qFormat/>
    <w:uiPriority w:val="0"/>
    <w:rPr>
      <w:rFonts w:ascii="Times New Roman" w:hAnsi="Times New Roman"/>
    </w:rPr>
  </w:style>
  <w:style w:type="character" w:customStyle="1" w:styleId="20">
    <w:name w:val="页脚 Char"/>
    <w:link w:val="2"/>
    <w:qFormat/>
    <w:uiPriority w:val="0"/>
    <w:rPr>
      <w:sz w:val="18"/>
      <w:szCs w:val="18"/>
    </w:rPr>
  </w:style>
  <w:style w:type="character" w:customStyle="1" w:styleId="21">
    <w:name w:val="样式1 Char"/>
    <w:link w:val="13"/>
    <w:qFormat/>
    <w:uiPriority w:val="0"/>
    <w:rPr>
      <w:rFonts w:ascii="Times New Roman" w:hAnsi="Times New Roman"/>
    </w:rPr>
  </w:style>
  <w:style w:type="character" w:customStyle="1" w:styleId="22">
    <w:name w:val="目录 1 Char"/>
    <w:link w:val="5"/>
    <w:qFormat/>
    <w:uiPriority w:val="0"/>
  </w:style>
  <w:style w:type="paragraph" w:styleId="23">
    <w:name w:val="List Paragraph"/>
    <w:basedOn w:val="1"/>
    <w:unhideWhenUsed/>
    <w:qFormat/>
    <w:uiPriority w:val="99"/>
    <w:pPr>
      <w:ind w:firstLine="420" w:firstLineChars="200"/>
    </w:pPr>
  </w:style>
  <w:style w:type="character" w:customStyle="1" w:styleId="24">
    <w:name w:val="批注框文本 Char"/>
    <w:basedOn w:val="10"/>
    <w:link w:val="3"/>
    <w:qFormat/>
    <w:uiPriority w:val="0"/>
    <w:rPr>
      <w:rFonts w:ascii="Times New Roman" w:hAnsi="Times New Roman" w:eastAsia="方正仿宋_GBK"/>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10758</Words>
  <Characters>11158</Characters>
  <Lines>80</Lines>
  <Paragraphs>22</Paragraphs>
  <TotalTime>20</TotalTime>
  <ScaleCrop>false</ScaleCrop>
  <LinksUpToDate>false</LinksUpToDate>
  <CharactersWithSpaces>11366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2023-08-17T23:43:00Z</dcterms:created>
  <dc:creator>PC</dc:creator>
  <cp:lastModifiedBy>㲚鵚</cp:lastModifiedBy>
  <cp:lastPrinted>2023-09-11T18:05:00Z</cp:lastPrinted>
  <dcterms:modified xsi:type="dcterms:W3CDTF">2023-09-11T15:08:08Z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58B59A6F36F94C42A53FFD4BECBCF481_13</vt:lpwstr>
  </property>
</Properties>
</file>